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Canonical Glossary</w:t>
      </w:r>
    </w:p>
    <w:p>
      <w:pPr>
        <w:pStyle w:val="Subtitle"/>
      </w:pPr>
      <w:r>
        <w:t>Omnira — Mobile Intelligence &amp; Device Control · Canonical Edition v1.0 (APPROVED)</w:t>
      </w:r>
    </w:p>
    <w:p/>
    <w:p>
      <w:r>
        <w:rPr>
          <w:sz w:val="20"/>
        </w:rPr>
        <w:t>Detta är ett härlett stöddokument. Det innehåller inga nya arkitekturkrav och ändrar ingen canonical bestämmelse. Varje definition är ordagrant citerad ur boken med angiven proveniens (kapitel och sektion). Där boken saknar en explicit definitionsmening anges det uttryckligen, och de sektioner som styr begreppet hänvisas istället. Inga definitioner har författats av sammanställaren.</w:t>
      </w:r>
    </w:p>
    <w:p/>
    <w:p>
      <w:r>
        <w:rPr>
          <w:color w:val="44546A"/>
          <w:sz w:val="20"/>
        </w:rPr>
        <w:t>Begrepp: 39 enligt Canonical Book Architecture and Chapter Plan v1.0 §8. Med explicit definition i boken: 32. Utan explicit definitionsmening: 7.</w:t>
      </w:r>
    </w:p>
    <w:p/>
    <w:p>
      <w:pPr>
        <w:pStyle w:val="Heading2"/>
      </w:pPr>
      <w:r>
        <w:t>Mobile Intelligence</w:t>
      </w:r>
    </w:p>
    <w:p>
      <w:r>
        <w:t>Mobile Intelligence är Omniras samlade förmåga att förstå, koordinera, styra och säkert använda mobilrelaterad kontext, data, appar, sensorer, notifieringar och enhetsfunktioner inom uttrycklig governance.</w:t>
      </w:r>
    </w:p>
    <w:p>
      <w:pPr>
        <w:pStyle w:val="Prov"/>
      </w:pPr>
      <w:r>
        <w:t>Källa: Kapitel 1, §1.2 Normativ definition av Mobile Intelligence</w:t>
      </w:r>
    </w:p>
    <w:p>
      <w:pPr>
        <w:pStyle w:val="Heading2"/>
      </w:pPr>
      <w:r>
        <w:t>Mobile Node</w:t>
      </w:r>
    </w:p>
    <w:p>
      <w:r>
        <w:t>En Omnira-node är en identifierad fysisk eller virtuell exekveringsresurs som kan bära en eller flera governade roller inom Omnira.</w:t>
      </w:r>
    </w:p>
    <w:p>
      <w:pPr>
        <w:pStyle w:val="Prov"/>
      </w:pPr>
      <w:r>
        <w:t>Källa: Kapitel 23, §23.2 Normativ definition av node</w:t>
      </w:r>
    </w:p>
    <w:p>
      <w:pPr>
        <w:pStyle w:val="Heading2"/>
      </w:pPr>
      <w:r>
        <w:t>Device Control</w:t>
      </w:r>
    </w:p>
    <w:p>
      <w:r>
        <w:t>Device control är varje observerande eller stateförändrande handling som utförs mot en fysisk eller virtuell användarenhet och dess lokala operativsystem, appar, filer, sensorer, anslutningar eller konfiguration.</w:t>
      </w:r>
    </w:p>
    <w:p>
      <w:pPr>
        <w:pStyle w:val="Prov"/>
      </w:pPr>
      <w:r>
        <w:t>Källa: Kapitel 13, §13.2 Normativ definition av device control</w:t>
      </w:r>
    </w:p>
    <w:p>
      <w:pPr>
        <w:pStyle w:val="Heading2"/>
      </w:pPr>
      <w:r>
        <w:t>Atlas</w:t>
      </w:r>
    </w:p>
    <w:p>
      <w:r>
        <w:t>Atlas är Omniras centrala intelligens och styrande koordinationslager.</w:t>
      </w:r>
    </w:p>
    <w:p>
      <w:pPr>
        <w:pStyle w:val="Prov"/>
      </w:pPr>
      <w:r>
        <w:t>Källa: Kapitel 1, §1.5 Atlas roll i mobilarkitekturen</w:t>
      </w:r>
    </w:p>
    <w:p>
      <w:pPr>
        <w:pStyle w:val="Heading2"/>
      </w:pPr>
      <w:r>
        <w:t>Project Agent</w:t>
      </w:r>
    </w:p>
    <w:p>
      <w:r>
        <w:t>En projektagent är en specialiserad agent som arbetar för ett visst projekt.</w:t>
      </w:r>
    </w:p>
    <w:p>
      <w:pPr>
        <w:pStyle w:val="Prov"/>
      </w:pPr>
      <w:r>
        <w:t>Källa: Kapitel 3, §3.9 Projektagent</w:t>
      </w:r>
    </w:p>
    <w:p>
      <w:pPr>
        <w:pStyle w:val="Heading2"/>
      </w:pPr>
      <w:r>
        <w:t>Control Surface</w:t>
      </w:r>
    </w:p>
    <w:p>
      <w:r>
        <w:t>En control surface är den yta där användaren styr systemet.</w:t>
      </w:r>
    </w:p>
    <w:p>
      <w:pPr>
        <w:pStyle w:val="Prov"/>
      </w:pPr>
      <w:r>
        <w:t>Källa: Kapitel 3, §3.13 Control surface</w:t>
      </w:r>
    </w:p>
    <w:p>
      <w:pPr>
        <w:pStyle w:val="Heading2"/>
      </w:pPr>
      <w:r>
        <w:t>Execution Surface</w:t>
      </w:r>
    </w:p>
    <w:p>
      <w:r>
        <w:t>Execution surface är den yta där actionen faktiskt utförs.</w:t>
      </w:r>
    </w:p>
    <w:p>
      <w:pPr>
        <w:pStyle w:val="Prov"/>
      </w:pPr>
      <w:r>
        <w:t>Källa: Kapitel 24, §24.9 Execution surface</w:t>
      </w:r>
    </w:p>
    <w:p>
      <w:pPr>
        <w:pStyle w:val="Heading2"/>
      </w:pPr>
      <w:r>
        <w:t>Canonical State</w:t>
      </w:r>
    </w:p>
    <w:p>
      <w:r>
        <w:t>Canonical state är den auktoritativa state som systemet använder för bindande beslut inom ett definierat scope.</w:t>
      </w:r>
    </w:p>
    <w:p>
      <w:pPr>
        <w:pStyle w:val="Prov"/>
      </w:pPr>
      <w:r>
        <w:t>Källa: Kapitel 27, §27.23 Canonical state</w:t>
      </w:r>
    </w:p>
    <w:p>
      <w:pPr>
        <w:pStyle w:val="Heading2"/>
      </w:pPr>
      <w:r>
        <w:t>Capability</w:t>
      </w:r>
    </w:p>
    <w:p>
      <w:r>
        <w:t>En capability är en specifik teknisk eller operativ förmåga.</w:t>
      </w:r>
    </w:p>
    <w:p>
      <w:pPr>
        <w:pStyle w:val="Prov"/>
      </w:pPr>
      <w:r>
        <w:t>Källa: Kapitel 3, §3.26 Roll kontra capability</w:t>
      </w:r>
    </w:p>
    <w:p>
      <w:pPr>
        <w:pStyle w:val="Heading2"/>
      </w:pPr>
      <w:r>
        <w:t>Authority</w:t>
      </w:r>
    </w:p>
    <w:p>
      <w:r>
        <w:t>Authority är den högsta tillåtna graden av självständigt beslut och exekvering som en aktör får använda inom ett uttryckligt avgränsat scope.</w:t>
      </w:r>
    </w:p>
    <w:p>
      <w:pPr>
        <w:pStyle w:val="Prov"/>
      </w:pPr>
      <w:r>
        <w:t>Källa: Kapitel 5, §5.2 Normativ definition av authority</w:t>
      </w:r>
    </w:p>
    <w:p>
      <w:pPr>
        <w:pStyle w:val="Heading2"/>
      </w:pPr>
      <w:r>
        <w:t>Mandate</w:t>
      </w:r>
    </w:p>
    <w:p>
      <w:r>
        <w:t>Ett mandat är den aktiva och maskinellt genomdrivbara rätt som följer av ett giltigt approval, en fastställd policy eller en redan godkänd governance-regel.</w:t>
      </w:r>
    </w:p>
    <w:p>
      <w:pPr>
        <w:pStyle w:val="Prov"/>
      </w:pPr>
      <w:r>
        <w:t>Källa: Kapitel 7, §7.3 Normativ definition av mandat</w:t>
      </w:r>
    </w:p>
    <w:p>
      <w:pPr>
        <w:pStyle w:val="Heading2"/>
      </w:pPr>
      <w:r>
        <w:t>Approval</w:t>
      </w:r>
    </w:p>
    <w:p>
      <w:r>
        <w:t>En approval surface är en control surface som får visa och ta emot approvals.</w:t>
      </w:r>
    </w:p>
    <w:p>
      <w:pPr>
        <w:pStyle w:val="Prov"/>
      </w:pPr>
      <w:r>
        <w:t>Källa: Kapitel 3, §3.14 Approval surface</w:t>
      </w:r>
    </w:p>
    <w:p>
      <w:pPr>
        <w:pStyle w:val="Heading2"/>
      </w:pPr>
      <w:r>
        <w:t>Delegation</w:t>
      </w:r>
    </w:p>
    <w:p>
      <w:r>
        <w:t>Delegering innebär att Atlas eller annan behörig aktör tilldelar en agent eller worker ett avgränsat uppdrag.</w:t>
      </w:r>
    </w:p>
    <w:p>
      <w:pPr>
        <w:pStyle w:val="Prov"/>
      </w:pPr>
      <w:r>
        <w:t>Källa: Kapitel 3, §3.30 Delegering</w:t>
      </w:r>
    </w:p>
    <w:p>
      <w:pPr>
        <w:pStyle w:val="Heading2"/>
      </w:pPr>
      <w:r>
        <w:t>Scope</w:t>
      </w:r>
    </w:p>
    <w:p>
      <w:r>
        <w:t>Scope är den uttryckliga avgränsning som anger inom vilka dimensioner en capability får användas.</w:t>
      </w:r>
    </w:p>
    <w:p>
      <w:pPr>
        <w:pStyle w:val="Prov"/>
      </w:pPr>
      <w:r>
        <w:t>Källa: Kapitel 6, §6.2 Normativ definition av scope</w:t>
      </w:r>
    </w:p>
    <w:p>
      <w:pPr>
        <w:pStyle w:val="Heading2"/>
      </w:pPr>
      <w:r>
        <w:t>Project Isolation</w:t>
      </w:r>
    </w:p>
    <w:p>
      <w:r>
        <w:t>Projektisolering är en kärninvariant.</w:t>
      </w:r>
    </w:p>
    <w:p>
      <w:pPr>
        <w:pStyle w:val="Prov"/>
      </w:pPr>
      <w:r>
        <w:t>Källa: Kapitel 4, §4.8 Projektisolering</w:t>
      </w:r>
    </w:p>
    <w:p>
      <w:pPr>
        <w:pStyle w:val="Heading2"/>
      </w:pPr>
      <w:r>
        <w:t>Credential Isolation</w:t>
      </w:r>
    </w:p>
    <w:p>
      <w:r>
        <w:rPr>
          <w:sz w:val="20"/>
        </w:rPr>
        <w:t>Boken innehåller ingen explicit definitionsmening för detta begrepp. Begreppet är normerat genom nedanstående sektioner.</w:t>
      </w:r>
    </w:p>
    <w:p>
      <w:pPr>
        <w:pStyle w:val="Prov"/>
      </w:pPr>
      <w:r>
        <w:t>Styrande sektioner: K1 §1.16 Credential isolation · K4 §4.9 Credential isolation · K8 §8.7 Projekt som credentialgräns</w:t>
      </w:r>
    </w:p>
    <w:p>
      <w:pPr>
        <w:pStyle w:val="Heading2"/>
      </w:pPr>
      <w:r>
        <w:t>Device Identity</w:t>
      </w:r>
    </w:p>
    <w:p>
      <w:r>
        <w:t>Device identity representerar en fysisk eller virtuell enhet.</w:t>
      </w:r>
    </w:p>
    <w:p>
      <w:pPr>
        <w:pStyle w:val="Prov"/>
      </w:pPr>
      <w:r>
        <w:t>Källa: Kapitel 22, §22.9 Device identity</w:t>
      </w:r>
    </w:p>
    <w:p>
      <w:pPr>
        <w:pStyle w:val="Heading2"/>
      </w:pPr>
      <w:r>
        <w:t>Trusted Device</w:t>
      </w:r>
    </w:p>
    <w:p>
      <w:r>
        <w:t>En betrodd enhet är en verifierad nod som godkänts för en eller flera roller.</w:t>
      </w:r>
    </w:p>
    <w:p>
      <w:pPr>
        <w:pStyle w:val="Prov"/>
      </w:pPr>
      <w:r>
        <w:t>Källa: Kapitel 3, §3.18 Betrodd enhet</w:t>
      </w:r>
    </w:p>
    <w:p>
      <w:pPr>
        <w:pStyle w:val="Heading2"/>
      </w:pPr>
      <w:r>
        <w:t>Recovery Device</w:t>
      </w:r>
    </w:p>
    <w:p>
      <w:r>
        <w:rPr>
          <w:sz w:val="20"/>
        </w:rPr>
        <w:t>Boken innehåller ingen explicit definitionsmening för detta begrepp. Begreppet är normerat genom nedanstående sektioner.</w:t>
      </w:r>
    </w:p>
    <w:p>
      <w:pPr>
        <w:pStyle w:val="Prov"/>
      </w:pPr>
      <w:r>
        <w:t>Styrande sektioner: K22 §22.68 Recovery device</w:t>
      </w:r>
    </w:p>
    <w:p>
      <w:pPr>
        <w:pStyle w:val="Heading2"/>
      </w:pPr>
      <w:r>
        <w:t>Workflow</w:t>
      </w:r>
    </w:p>
    <w:p>
      <w:r>
        <w:t>Ett workflow är en governad, tillståndsbärande process som koordinerar en eller flera tasks, actions, approvals, nodes, agents, providers och external effects mot ett definierat mål.</w:t>
      </w:r>
    </w:p>
    <w:p>
      <w:pPr>
        <w:pStyle w:val="Prov"/>
      </w:pPr>
      <w:r>
        <w:t>Källa: Kapitel 26, §26.2 Normativ definition av workflow</w:t>
      </w:r>
    </w:p>
    <w:p>
      <w:pPr>
        <w:pStyle w:val="Heading2"/>
      </w:pPr>
      <w:r>
        <w:t>Action</w:t>
      </w:r>
    </w:p>
    <w:p>
      <w:r>
        <w:t>En action är en specifik instans av capabilityn.</w:t>
      </w:r>
    </w:p>
    <w:p>
      <w:pPr>
        <w:pStyle w:val="Prov"/>
      </w:pPr>
      <w:r>
        <w:t>Källa: Kapitel 13, §13.3 Capability före action</w:t>
      </w:r>
    </w:p>
    <w:p>
      <w:pPr>
        <w:pStyle w:val="Heading2"/>
      </w:pPr>
      <w:r>
        <w:t>Step</w:t>
      </w:r>
    </w:p>
    <w:p>
      <w:r>
        <w:t>Step-up authentication används när aktuell session inte är stark nog för actionen.</w:t>
      </w:r>
    </w:p>
    <w:p>
      <w:pPr>
        <w:pStyle w:val="Prov"/>
      </w:pPr>
      <w:r>
        <w:t>Källa: Kapitel 22, §22.19 Step-up authentication</w:t>
      </w:r>
    </w:p>
    <w:p>
      <w:pPr>
        <w:pStyle w:val="Heading2"/>
      </w:pPr>
      <w:r>
        <w:t>Checkpoint</w:t>
      </w:r>
    </w:p>
    <w:p>
      <w:r>
        <w:t>Checkpoint SKA ange om den är node-specific, model-specific eller portable.</w:t>
      </w:r>
    </w:p>
    <w:p>
      <w:pPr>
        <w:pStyle w:val="Prov"/>
      </w:pPr>
      <w:r>
        <w:t>Källa: Kapitel 25, §25.51 Checkpoint portability</w:t>
      </w:r>
    </w:p>
    <w:p>
      <w:pPr>
        <w:pStyle w:val="Heading2"/>
      </w:pPr>
      <w:r>
        <w:t>Verification</w:t>
      </w:r>
    </w:p>
    <w:p>
      <w:r>
        <w:t>Verifiering är den governade processen att avgöra om en avsedd stateförändring, external effect, observation eller systempostcondition faktiskt föreligger med tillräcklig evidens för nästa beslut.</w:t>
      </w:r>
    </w:p>
    <w:p>
      <w:pPr>
        <w:pStyle w:val="Prov"/>
      </w:pPr>
      <w:r>
        <w:t>Källa: Kapitel 28, §28.2 Normativ definition av verifiering</w:t>
      </w:r>
    </w:p>
    <w:p>
      <w:pPr>
        <w:pStyle w:val="Heading2"/>
      </w:pPr>
      <w:r>
        <w:t>Unknown Outcome</w:t>
      </w:r>
    </w:p>
    <w:p>
      <w:r>
        <w:t>Unknown outcome är ett permanent canonical tillstånd.</w:t>
      </w:r>
    </w:p>
    <w:p>
      <w:pPr>
        <w:pStyle w:val="Prov"/>
      </w:pPr>
      <w:r>
        <w:t>Källa: Kapitel 4, §4.19 Unknown outcome</w:t>
      </w:r>
    </w:p>
    <w:p>
      <w:pPr>
        <w:pStyle w:val="Heading2"/>
      </w:pPr>
      <w:r>
        <w:t>Rollback</w:t>
      </w:r>
    </w:p>
    <w:p>
      <w:r>
        <w:t>Rollback innebär att systemet återställer tidigare state.</w:t>
      </w:r>
    </w:p>
    <w:p>
      <w:pPr>
        <w:pStyle w:val="Prov"/>
      </w:pPr>
      <w:r>
        <w:t>Källa: Kapitel 13, §13.51 Rollback</w:t>
      </w:r>
    </w:p>
    <w:p>
      <w:pPr>
        <w:pStyle w:val="Heading2"/>
      </w:pPr>
      <w:r>
        <w:t>Compensation</w:t>
      </w:r>
    </w:p>
    <w:p>
      <w:r>
        <w:t>Compensation är en ny governad action som försöker minska, neutralisera eller korrigera konsekvenserna av en tidigare effekt utan att påstå att historiken återställs exakt.</w:t>
      </w:r>
    </w:p>
    <w:p>
      <w:pPr>
        <w:pStyle w:val="Prov"/>
      </w:pPr>
      <w:r>
        <w:t>Källa: Kapitel 29, §29.56 Compensation</w:t>
      </w:r>
    </w:p>
    <w:p>
      <w:pPr>
        <w:pStyle w:val="Heading2"/>
      </w:pPr>
      <w:r>
        <w:t>Quarantine</w:t>
      </w:r>
    </w:p>
    <w:p>
      <w:r>
        <w:t>Karantän är ett isolerat state och storage area för filer som:</w:t>
      </w:r>
    </w:p>
    <w:p>
      <w:pPr>
        <w:pStyle w:val="Prov"/>
      </w:pPr>
      <w:r>
        <w:t>Källa: Kapitel 15, §15.49 Karantän</w:t>
      </w:r>
    </w:p>
    <w:p>
      <w:pPr>
        <w:pStyle w:val="Heading2"/>
      </w:pPr>
      <w:r>
        <w:t>Audit</w:t>
      </w:r>
    </w:p>
    <w:p>
      <w:r>
        <w:t>Audit är en integritetsskyddad, scope:ad och rekonstruerbar redovisning av materiella systemhändelser, beslut, authorityanvändning, dataflöden, external effects och recoveryåtgärder.</w:t>
      </w:r>
    </w:p>
    <w:p>
      <w:pPr>
        <w:pStyle w:val="Prov"/>
      </w:pPr>
      <w:r>
        <w:t>Källa: Kapitel 30, §30.2 Normativ definition av audit</w:t>
      </w:r>
    </w:p>
    <w:p>
      <w:pPr>
        <w:pStyle w:val="Heading2"/>
      </w:pPr>
      <w:r>
        <w:t>Retention</w:t>
      </w:r>
    </w:p>
    <w:p>
      <w:r>
        <w:t>Retention är den styrda tidsperiod under vilken ett dataobjekt, minnesobjekt, filobjekt, logg, backup eller derivat ska bevaras eller hållas tillgängligt.</w:t>
      </w:r>
    </w:p>
    <w:p>
      <w:pPr>
        <w:pStyle w:val="Prov"/>
      </w:pPr>
      <w:r>
        <w:t>Källa: Kapitel 21, §21.2 Normativ definition av retention</w:t>
      </w:r>
    </w:p>
    <w:p>
      <w:pPr>
        <w:pStyle w:val="Heading2"/>
      </w:pPr>
      <w:r>
        <w:t>Local Processing</w:t>
      </w:r>
    </w:p>
    <w:p>
      <w:r>
        <w:t>Lokal bearbetning ska användas när den kan minska exponering.</w:t>
      </w:r>
    </w:p>
    <w:p>
      <w:pPr>
        <w:pStyle w:val="Prov"/>
      </w:pPr>
      <w:r>
        <w:t>Källa: Kapitel 9, §9.30 Lokal bearbetning som privacyverktyg</w:t>
      </w:r>
    </w:p>
    <w:p>
      <w:pPr>
        <w:pStyle w:val="Heading2"/>
      </w:pPr>
      <w:r>
        <w:t>Cloud Processing</w:t>
      </w:r>
    </w:p>
    <w:p>
      <w:r>
        <w:rPr>
          <w:sz w:val="20"/>
        </w:rPr>
        <w:t>Boken innehåller ingen explicit definitionsmening för detta begrepp. Begreppet är normerat genom nedanstående sektioner.</w:t>
      </w:r>
    </w:p>
    <w:p>
      <w:pPr>
        <w:pStyle w:val="Prov"/>
      </w:pPr>
      <w:r>
        <w:t>Begreppet förekommer 29 gånger i löpande text utan egen sektionsrubrik. Rekommenderas för explicit definition i nästa version.</w:t>
      </w:r>
    </w:p>
    <w:p>
      <w:pPr>
        <w:pStyle w:val="Heading2"/>
      </w:pPr>
      <w:r>
        <w:t>Provider Routing</w:t>
      </w:r>
    </w:p>
    <w:p>
      <w:r>
        <w:rPr>
          <w:sz w:val="20"/>
        </w:rPr>
        <w:t>Boken innehåller ingen explicit definitionsmening för detta begrepp. Begreppet är normerat genom nedanstående sektioner.</w:t>
      </w:r>
    </w:p>
    <w:p>
      <w:pPr>
        <w:pStyle w:val="Prov"/>
      </w:pPr>
      <w:r>
        <w:t>Styrande sektioner: K30 §30.43 Förklarbarhet för provider routing</w:t>
      </w:r>
    </w:p>
    <w:p>
      <w:pPr>
        <w:pStyle w:val="Heading2"/>
      </w:pPr>
      <w:r>
        <w:t>Notification Priority</w:t>
      </w:r>
    </w:p>
    <w:p>
      <w:r>
        <w:rPr>
          <w:sz w:val="20"/>
        </w:rPr>
        <w:t>Boken innehåller ingen explicit definitionsmening för detta begrepp. Begreppet är normerat genom nedanstående sektioner.</w:t>
      </w:r>
    </w:p>
    <w:p>
      <w:pPr>
        <w:pStyle w:val="Prov"/>
      </w:pPr>
      <w:r>
        <w:t>Begreppet förekommer 2 gånger i löpande text utan egen sektionsrubrik. Rekommenderas för explicit definition i nästa version.</w:t>
      </w:r>
    </w:p>
    <w:p>
      <w:pPr>
        <w:pStyle w:val="Heading2"/>
      </w:pPr>
      <w:r>
        <w:t>Emergency Stop</w:t>
      </w:r>
    </w:p>
    <w:p>
      <w:r>
        <w:t>Emergency stop är en högt prioriterad governad kontroll som omedelbart ska stoppa eller fenca nya och pågående riskbärande actions inom ett definierat scope.</w:t>
      </w:r>
    </w:p>
    <w:p>
      <w:pPr>
        <w:pStyle w:val="Prov"/>
      </w:pPr>
      <w:r>
        <w:t>Källa: Kapitel 29, §29.88 Emergency stop</w:t>
      </w:r>
    </w:p>
    <w:p>
      <w:pPr>
        <w:pStyle w:val="Heading2"/>
      </w:pPr>
      <w:r>
        <w:t>Safe Failure</w:t>
      </w:r>
    </w:p>
    <w:p>
      <w:r>
        <w:t>Safe failure betyder inte att systemet aldrig orsakar problem.</w:t>
      </w:r>
    </w:p>
    <w:p>
      <w:pPr>
        <w:pStyle w:val="Prov"/>
      </w:pPr>
      <w:r>
        <w:t>Källa: Kapitel 1, §1.18 Safe failure och unknown outcome</w:t>
      </w:r>
    </w:p>
    <w:p>
      <w:pPr>
        <w:pStyle w:val="Heading2"/>
      </w:pPr>
      <w:r>
        <w:t>Human Override</w:t>
      </w:r>
    </w:p>
    <w:p>
      <w:r>
        <w:rPr>
          <w:sz w:val="20"/>
        </w:rPr>
        <w:t>Boken innehåller ingen explicit definitionsmening för detta begrepp. Begreppet är normerat genom nedanstående sektioner.</w:t>
      </w:r>
    </w:p>
    <w:p>
      <w:pPr>
        <w:pStyle w:val="Prov"/>
      </w:pPr>
      <w:r>
        <w:t>Styrande sektioner: K4 §4.38 Manuell override · K5 §5.46 Authority och personlig override · K9 §9.49 Privacy override · K17 §17.68 Location override</w:t>
      </w:r>
    </w:p>
    <w:p>
      <w:pPr>
        <w:pStyle w:val="Heading2"/>
      </w:pPr>
      <w:r>
        <w:t>Governance Version</w:t>
      </w:r>
    </w:p>
    <w:p>
      <w:r>
        <w:rPr>
          <w:sz w:val="20"/>
        </w:rPr>
        <w:t>Boken innehåller ingen explicit definitionsmening för detta begrepp. Begreppet är normerat genom nedanstående sektioner.</w:t>
      </w:r>
    </w:p>
    <w:p>
      <w:pPr>
        <w:pStyle w:val="Prov"/>
      </w:pPr>
      <w:r>
        <w:t>Begreppet förekommer 2 gånger i löpande text utan egen sektionsrubrik. Rekommenderas för explicit definition i nästa version.</w:t>
      </w:r>
    </w:p>
    <w:p>
      <w:pPr>
        <w:pStyle w:val="Heading2"/>
      </w:pPr>
      <w:r>
        <w:t>Capability Expansion</w:t>
      </w:r>
    </w:p>
    <w:p>
      <w:r>
        <w:t>Capability expansion är en governad ökning av vad en capability får:</w:t>
      </w:r>
    </w:p>
    <w:p>
      <w:pPr>
        <w:pStyle w:val="Prov"/>
      </w:pPr>
      <w:r>
        <w:t>Källa: Kapitel 31, §31.114 Capability expansion</w:t>
      </w:r>
    </w:p>
    <w:p>
      <w:pPr>
        <w:pStyle w:val="Heading1"/>
      </w:pPr>
      <w:r>
        <w:t>Anmärkning om täckning</w:t>
      </w:r>
    </w:p>
    <w:p>
      <w:r>
        <w:t>Följande begrepp ur §8 saknar explicit definitionsmening i kapiteltexten. De är normerade genom sina sektioner men skulle vinna på en uttrycklig definition i en kommande version. Detta är en observation, inte en ändring:</w:t>
      </w:r>
    </w:p>
    <w:p>
      <w:pPr>
        <w:pStyle w:val="ListBullet"/>
      </w:pPr>
      <w:r>
        <w:t>Credential Isolation</w:t>
      </w:r>
    </w:p>
    <w:p>
      <w:pPr>
        <w:pStyle w:val="ListBullet"/>
      </w:pPr>
      <w:r>
        <w:t>Recovery Device</w:t>
      </w:r>
    </w:p>
    <w:p>
      <w:pPr>
        <w:pStyle w:val="ListBullet"/>
      </w:pPr>
      <w:r>
        <w:t>Cloud Processing</w:t>
      </w:r>
    </w:p>
    <w:p>
      <w:pPr>
        <w:pStyle w:val="ListBullet"/>
      </w:pPr>
      <w:r>
        <w:t>Provider Routing</w:t>
      </w:r>
    </w:p>
    <w:p>
      <w:pPr>
        <w:pStyle w:val="ListBullet"/>
      </w:pPr>
      <w:r>
        <w:t>Notification Priority</w:t>
      </w:r>
    </w:p>
    <w:p>
      <w:pPr>
        <w:pStyle w:val="ListBullet"/>
      </w:pPr>
      <w:r>
        <w:t>Human Override</w:t>
      </w:r>
    </w:p>
    <w:p>
      <w:pPr>
        <w:pStyle w:val="ListBullet"/>
      </w:pPr>
      <w:r>
        <w:t>Governance Version</w:t>
      </w:r>
    </w:p>
    <w:p/>
    <w:p>
      <w:r>
        <w:rPr>
          <w:b/>
          <w:color w:val="C00000"/>
          <w:sz w:val="20"/>
        </w:rPr>
        <w:t>Boken är godkänd som Canonical Edition v1.0 av André Hultgren 2026-07-30. Detta stöddokument är en del av den godkända leveransen.</w:t>
      </w:r>
    </w:p>
    <w:p>
      <w:r>
        <w:rPr>
          <w:b/>
          <w:color w:val="1F4E79"/>
          <w:sz w:val="20"/>
        </w:rPr>
        <w:t>Godkänd: André Hultgren godkände Omnira — Mobile Intelligence &amp; Device Control som Canonical Edition v1.0 den 2026-07-30. Detta dokument är oförändrat i sak sedan r2-leveransen; endast status- och godkännandemetadata har uppdaterats.</w:t>
      </w:r>
    </w:p>
    <w:sectPr w:rsidR="00FC693F" w:rsidRPr="0006063C" w:rsidSect="00034616">
      <w:footerReference w:type="default" r:id="rId9"/>
      <w:headerReference w:type="default" r:id="rId10"/>
      <w:footerReference w:type="first" r:id="rId11"/>
      <w:headerReference w:type="first" r:id="rId12"/>
      <w:pgSz w:w="11906" w:h="16838"/>
      <w:pgMar w:top="1304"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808080"/>
        <w:sz w:val="16"/>
      </w:rPr>
      <w:t>Canonical Glossary · Omnira Mobile Intelligence &amp; Device Control · Canonical Edition v1.0 — APPROVED — härlett stöddokument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Caladea" w:hAnsi="Caladea" w:eastAsia="Calade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eastAsia="Lato"/>
      <w:b/>
      <w:bCs/>
      <w:i w:val="0"/>
      <w:color w:val="12263F"/>
      <w:sz w:val="30"/>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Lato" w:hAnsi="Lato" w:eastAsia="Lato"/>
      <w:b/>
      <w:bCs/>
      <w:i w:val="0"/>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ato" w:hAnsi="Lato" w:eastAsia="Lato"/>
      <w:b/>
      <w:i w:val="0"/>
      <w:color w:val="1226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pPr>
    <w:rPr>
      <w:rFonts w:asciiTheme="majorHAnsi" w:eastAsiaTheme="majorEastAsia" w:hAnsiTheme="majorHAnsi" w:cstheme="majorBidi" w:ascii="Caladea" w:hAnsi="Caladea" w:eastAsia="Caladea"/>
      <w:b w:val="0"/>
      <w:i/>
      <w:iCs/>
      <w:color w:val="44546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v">
    <w:name w:val="Prov"/>
    <w:basedOn w:val="Normal"/>
    <w:pPr>
      <w:spacing w:after="200"/>
    </w:pPr>
    <w:rPr>
      <w:rFonts w:ascii="Caladea" w:hAnsi="Caladea"/>
      <w:i/>
      <w:color w:val="4454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Glossary — Omnira Mobile Intelligence &amp; Device Control v1.0</dc:title>
  <dc:subject/>
  <dc:creator>André Hultgren</dc:creator>
  <cp:keywords/>
  <dc:description>Canonical Edition v1.0 — APPROVED. Godkänd av André Hultgren 2026-07-30.</dc:description>
  <cp:lastModifiedBy/>
  <cp:revision>1</cp:revision>
  <dcterms:created xsi:type="dcterms:W3CDTF">2013-12-23T23:15:00Z</dcterms:created>
  <dcterms:modified xsi:type="dcterms:W3CDTF">2013-12-23T23:15:00Z</dcterms:modified>
  <cp:category/>
</cp:coreProperties>
</file>