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E5CBD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微服务期末大作业</w:t>
      </w:r>
    </w:p>
    <w:p w14:paraId="7DB4A45D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基本要求</w:t>
      </w:r>
    </w:p>
    <w:p w14:paraId="53CB975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</w:rPr>
      </w:pPr>
      <w:r>
        <w:rPr>
          <w:rFonts w:hint="eastAsia"/>
        </w:rPr>
        <w:t>- 团队规模：1~5 人</w:t>
      </w:r>
    </w:p>
    <w:p w14:paraId="43B9D3C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</w:rPr>
      </w:pPr>
      <w:r>
        <w:rPr>
          <w:rFonts w:hint="eastAsia"/>
        </w:rPr>
        <w:t>- 选题：自拟</w:t>
      </w:r>
    </w:p>
    <w:p w14:paraId="190E962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</w:rPr>
      </w:pPr>
      <w:r>
        <w:rPr>
          <w:rFonts w:hint="eastAsia"/>
        </w:rPr>
        <w:t>- 技术栈：</w:t>
      </w:r>
    </w:p>
    <w:p w14:paraId="4110B26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- 前端：</w:t>
      </w:r>
      <w:r>
        <w:rPr>
          <w:rFonts w:hint="eastAsia"/>
          <w:lang w:val="en-US" w:eastAsia="zh-CN"/>
        </w:rPr>
        <w:t>Vue3+vite</w:t>
      </w:r>
    </w:p>
    <w:p w14:paraId="1549625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</w:rPr>
      </w:pPr>
      <w:r>
        <w:rPr>
          <w:rFonts w:hint="eastAsia"/>
        </w:rPr>
        <w:t xml:space="preserve">  - 后端：Spring Cloud</w:t>
      </w:r>
      <w:r>
        <w:rPr>
          <w:rFonts w:hint="eastAsia"/>
          <w:lang w:val="en-US" w:eastAsia="zh-CN"/>
        </w:rPr>
        <w:t>分布式</w:t>
      </w:r>
      <w:r>
        <w:rPr>
          <w:rFonts w:hint="eastAsia"/>
        </w:rPr>
        <w:t xml:space="preserve"> </w:t>
      </w:r>
    </w:p>
    <w:p w14:paraId="3944A089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数据库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mysql</w:t>
      </w:r>
      <w:bookmarkStart w:id="0" w:name="_GoBack"/>
      <w:bookmarkEnd w:id="0"/>
    </w:p>
    <w:p w14:paraId="015CFF0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二、评分标准</w:t>
      </w:r>
    </w:p>
    <w:tbl>
      <w:tblPr>
        <w:tblStyle w:val="5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1"/>
        <w:gridCol w:w="5627"/>
        <w:gridCol w:w="654"/>
      </w:tblGrid>
      <w:tr w14:paraId="540D9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4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0F4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B792E">
            <w:pPr>
              <w:pStyle w:val="3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eastAsia="宋体"/>
                <w:b/>
                <w:sz w:val="20"/>
              </w:rPr>
              <w:t>评分标准</w:t>
            </w:r>
            <w:r>
              <w:rPr>
                <w:rStyle w:val="7"/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评分项</w:t>
            </w: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0F4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C5E57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评分标准</w:t>
            </w:r>
          </w:p>
        </w:tc>
        <w:tc>
          <w:tcPr>
            <w:tcW w:w="65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0F4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FDCC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分值</w:t>
            </w:r>
          </w:p>
        </w:tc>
      </w:tr>
      <w:tr w14:paraId="53848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tcBorders>
              <w:top w:val="single" w:color="DEE0E3" w:sz="2" w:space="0"/>
              <w:left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B56F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hint="eastAsia" w:ascii="宋体" w:eastAsia="宋体"/>
                <w:b w:val="0"/>
                <w:bCs w:val="0"/>
                <w:color w:val="FF0000"/>
                <w:sz w:val="20"/>
                <w:szCs w:val="20"/>
              </w:rPr>
              <w:t>项目功能与完整性</w:t>
            </w: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EA19C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eastAsia="宋体"/>
                <w:sz w:val="20"/>
                <w:szCs w:val="20"/>
              </w:rPr>
              <w:t>完整实现了所有核心功能；设计思路清晰，项目具有一定复杂度</w:t>
            </w:r>
            <w:r>
              <w:rPr>
                <w:rFonts w:hint="eastAsia" w:ascii="宋体" w:eastAsia="宋体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65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EE44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eastAsia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</w:tr>
      <w:tr w14:paraId="20997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F47A1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hint="eastAsia" w:ascii="宋体" w:eastAsia="宋体"/>
                <w:color w:val="FF0000"/>
                <w:sz w:val="20"/>
                <w:szCs w:val="20"/>
              </w:rPr>
              <w:t>技术规范与架构设计</w:t>
            </w: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903E0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eastAsia="宋体"/>
                <w:sz w:val="20"/>
                <w:szCs w:val="20"/>
              </w:rPr>
              <w:t>微服务划分合理（如Spring Cloud Alibaba体系），熟练运用各组件并正确解决分布式难题（服务治理/配置中心/网关等）</w:t>
            </w:r>
            <w:r>
              <w:rPr>
                <w:rFonts w:hint="eastAsia" w:ascii="宋体" w:eastAsia="宋体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65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899CD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eastAsia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20</w:t>
            </w:r>
          </w:p>
        </w:tc>
      </w:tr>
      <w:tr w14:paraId="49768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vMerge w:val="restart"/>
            <w:tcBorders>
              <w:top w:val="single" w:color="DEE0E3" w:sz="2" w:space="0"/>
              <w:left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2660B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宋体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eastAsia="宋体"/>
                <w:color w:val="FF0000"/>
                <w:sz w:val="20"/>
                <w:szCs w:val="20"/>
                <w:lang w:val="en-US" w:eastAsia="zh-CN"/>
              </w:rPr>
              <w:t>代码测试</w:t>
            </w: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00EB3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 xml:space="preserve">接口功能测试：使用 Postman 测试不少于6个核心接口，总请求次数不低于20次。重点验证业务逻辑正确性及 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Open</w:t>
            </w:r>
            <w:r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Feign 远程调用是否通畅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。</w:t>
            </w:r>
          </w:p>
        </w:tc>
        <w:tc>
          <w:tcPr>
            <w:tcW w:w="654" w:type="dxa"/>
            <w:vMerge w:val="restart"/>
            <w:tcBorders>
              <w:top w:val="single" w:color="DEE0E3" w:sz="2" w:space="0"/>
              <w:left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F8396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25</w:t>
            </w:r>
          </w:p>
        </w:tc>
      </w:tr>
      <w:tr w14:paraId="64A1E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vMerge w:val="continue"/>
            <w:tcBorders>
              <w:left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A6C00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4C75D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服务治理测试：验证 Nacos/Eureka 服务注册与心跳感知，以及网关 Spring Cloud Gateway 的路由和鉴权能力（例如访问受限资源需校验Token）。</w:t>
            </w:r>
          </w:p>
        </w:tc>
        <w:tc>
          <w:tcPr>
            <w:tcW w:w="654" w:type="dxa"/>
            <w:vMerge w:val="continue"/>
            <w:tcBorders>
              <w:left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E06C0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04408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vMerge w:val="continue"/>
            <w:tcBorders>
              <w:left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7C2C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5D253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负载测试：通过 JMeter 模拟 1.5-3倍正常并发量（如50→150用户），测试业务响应时间（目标P95 &lt; 1s）及系统吞吐量。</w:t>
            </w:r>
          </w:p>
        </w:tc>
        <w:tc>
          <w:tcPr>
            <w:tcW w:w="654" w:type="dxa"/>
            <w:vMerge w:val="continue"/>
            <w:tcBorders>
              <w:left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EF1C9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76692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vMerge w:val="continue"/>
            <w:tcBorders>
              <w:left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F533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95A3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压力测试：持续增加并发至系统瓶颈（阈值500），检测错误率、资源（CPU/内存）使用情况，验证限流熔断策略是否能有效防止系统崩溃。</w:t>
            </w:r>
          </w:p>
        </w:tc>
        <w:tc>
          <w:tcPr>
            <w:tcW w:w="654" w:type="dxa"/>
            <w:vMerge w:val="continue"/>
            <w:tcBorders>
              <w:left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A9A3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31509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vMerge w:val="continue"/>
            <w:tcBorders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7D3E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FAF32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异常场景覆盖：通过模拟服务宕机或超时，验证熔断降级策略（如Sentinel/Hystrix）是否生效；验证 Nacos 配置热更新是否生效且不中断业务。</w:t>
            </w:r>
          </w:p>
        </w:tc>
        <w:tc>
          <w:tcPr>
            <w:tcW w:w="654" w:type="dxa"/>
            <w:vMerge w:val="continue"/>
            <w:tcBorders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CC4C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6B4DD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CED0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hint="eastAsia" w:ascii="宋体" w:eastAsia="宋体"/>
                <w:color w:val="FF0000"/>
                <w:sz w:val="20"/>
                <w:szCs w:val="20"/>
              </w:rPr>
              <w:t>代码质量与注释</w:t>
            </w:r>
            <w:r>
              <w:rPr>
                <w:rFonts w:hint="eastAsia" w:ascii="宋体" w:eastAsia="宋体"/>
                <w:sz w:val="20"/>
                <w:szCs w:val="20"/>
              </w:rPr>
              <w:t xml:space="preserve"> </w:t>
            </w: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16A8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eastAsia="宋体"/>
                <w:sz w:val="20"/>
                <w:szCs w:val="20"/>
              </w:rPr>
              <w:t>遵循命名和编码规范；添加了适量注释，层次分明</w:t>
            </w:r>
            <w:r>
              <w:rPr>
                <w:rFonts w:hint="eastAsia" w:ascii="宋体" w:eastAsia="宋体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65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0343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15</w:t>
            </w:r>
          </w:p>
        </w:tc>
      </w:tr>
      <w:tr w14:paraId="4C271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032B8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hint="eastAsia" w:ascii="宋体" w:eastAsia="宋体"/>
                <w:color w:val="FF0000"/>
                <w:sz w:val="20"/>
                <w:szCs w:val="20"/>
              </w:rPr>
              <w:t>文档与报告质量</w:t>
            </w: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C034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eastAsia="宋体"/>
                <w:sz w:val="20"/>
                <w:szCs w:val="20"/>
              </w:rPr>
              <w:t>需求、设计、部署总结等报告内容详尽，图文并茂</w:t>
            </w:r>
            <w:r>
              <w:rPr>
                <w:rFonts w:hint="eastAsia" w:ascii="宋体" w:eastAsia="宋体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65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23B1B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default" w:ascii="宋体" w:eastAsia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</w:tr>
      <w:tr w14:paraId="5CD38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1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7B55B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hint="eastAsia" w:ascii="宋体" w:eastAsia="宋体"/>
                <w:color w:val="FF0000"/>
                <w:sz w:val="20"/>
                <w:szCs w:val="20"/>
              </w:rPr>
              <w:t>演示与答辩表现</w:t>
            </w:r>
            <w:r>
              <w:rPr>
                <w:rFonts w:hint="eastAsia" w:ascii="宋体" w:eastAsia="宋体"/>
                <w:sz w:val="20"/>
                <w:szCs w:val="20"/>
              </w:rPr>
              <w:t xml:space="preserve"> </w:t>
            </w:r>
          </w:p>
        </w:tc>
        <w:tc>
          <w:tcPr>
            <w:tcW w:w="5627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52B09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eastAsia="宋体"/>
                <w:sz w:val="20"/>
                <w:szCs w:val="20"/>
                <w:lang w:eastAsia="zh-CN"/>
              </w:rPr>
            </w:pPr>
            <w:r>
              <w:rPr>
                <w:rFonts w:hint="eastAsia" w:ascii="宋体" w:eastAsia="宋体"/>
                <w:sz w:val="20"/>
                <w:szCs w:val="20"/>
              </w:rPr>
              <w:t>演示顺畅，能清晰阐述项目思路和亮点，并从容回答</w:t>
            </w:r>
            <w:r>
              <w:rPr>
                <w:rFonts w:hint="eastAsia" w:ascii="宋体" w:eastAsia="宋体"/>
                <w:sz w:val="20"/>
                <w:szCs w:val="20"/>
                <w:lang w:val="en-US" w:eastAsia="zh-CN"/>
              </w:rPr>
              <w:t>老师的</w:t>
            </w:r>
            <w:r>
              <w:rPr>
                <w:rFonts w:hint="eastAsia" w:ascii="宋体" w:eastAsia="宋体"/>
                <w:sz w:val="20"/>
                <w:szCs w:val="20"/>
              </w:rPr>
              <w:t>提问</w:t>
            </w:r>
            <w:r>
              <w:rPr>
                <w:rFonts w:hint="eastAsia" w:ascii="宋体" w:eastAsia="宋体"/>
                <w:sz w:val="20"/>
                <w:szCs w:val="20"/>
                <w:lang w:eastAsia="zh-CN"/>
              </w:rPr>
              <w:t>。</w:t>
            </w:r>
          </w:p>
        </w:tc>
        <w:tc>
          <w:tcPr>
            <w:tcW w:w="654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54A6D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eastAsia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</w:tbl>
    <w:p w14:paraId="38B090FE">
      <w:pPr>
        <w:pStyle w:val="4"/>
        <w:bidi w:val="0"/>
      </w:pPr>
      <w:r>
        <w:rPr>
          <w:rFonts w:hint="eastAsia"/>
          <w:lang w:val="en-US" w:eastAsia="zh-CN"/>
        </w:rPr>
        <w:t>三、</w:t>
      </w:r>
      <w:r>
        <w:t>答辩时间</w:t>
      </w:r>
    </w:p>
    <w:p w14:paraId="0AE8DA52">
      <w:pPr>
        <w:ind w:firstLine="420" w:firstLineChars="0"/>
      </w:pPr>
      <w:r>
        <w:t>待定（~考试周）</w:t>
      </w:r>
    </w:p>
    <w:p w14:paraId="49A3151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四、答辩方式</w:t>
      </w:r>
    </w:p>
    <w:p w14:paraId="18B859D9">
      <w:pPr>
        <w:bidi w:val="0"/>
        <w:ind w:firstLine="420" w:firstLineChars="0"/>
      </w:pPr>
      <w:r>
        <w:rPr>
          <w:rFonts w:hint="eastAsia"/>
          <w:lang w:val="en-US" w:eastAsia="zh-CN"/>
        </w:rPr>
        <w:t>文档</w:t>
      </w:r>
      <w:r>
        <w:t>+系统演示</w:t>
      </w:r>
    </w:p>
    <w:p w14:paraId="2A31BE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30526"/>
    <w:rsid w:val="29AC7C89"/>
    <w:rsid w:val="2D067C4C"/>
    <w:rsid w:val="3B7D580F"/>
    <w:rsid w:val="42975177"/>
    <w:rsid w:val="43960176"/>
    <w:rsid w:val="46B51801"/>
    <w:rsid w:val="75EF7FE9"/>
    <w:rsid w:val="78AC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570</Words>
  <Characters>686</Characters>
  <Lines>0</Lines>
  <Paragraphs>0</Paragraphs>
  <TotalTime>22</TotalTime>
  <ScaleCrop>false</ScaleCrop>
  <LinksUpToDate>false</LinksUpToDate>
  <CharactersWithSpaces>726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2026-05-06T03:55:00Z</dcterms:created>
  <dc:creator>19628</dc:creator>
  <cp:lastModifiedBy>Chenaura</cp:lastModifiedBy>
  <dcterms:modified xsi:type="dcterms:W3CDTF">2026-06-01T10:48:29Z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eyJoZGlkIjoiODE1M2E2ODY3NjQxZDliOTc4NTE0Mjc3MDVhNDgxMzciLCJ1c2VySWQiOiIyMjg3MjcxMDUifQ==</vt:lpwstr>
  </property>
  <property fmtid="{D5CDD505-2E9C-101B-9397-08002B2CF9AE}" pid="4" name="ICV">
    <vt:lpwstr>14FB9D5219964BABB93759925B063F20_12</vt:lpwstr>
  </property>
</Properties>
</file>