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CoverEyebrow"/>
      </w:pPr>
      <w:r>
        <w:rPr/>
        <w:t xml:space="preserve">E-KHMER</w:t>
      </w:r>
    </w:p>
    <w:p>
      <w:pPr>
        <w:pStyle w:val="Title"/>
      </w:pPr>
      <w:r>
        <w:rPr/>
        <w:t xml:space="preserve">TEAM HANDOVER</w:t>
      </w:r>
    </w:p>
    <w:p>
      <w:pPr>
        <w:pStyle w:val="Subtitle"/>
      </w:pPr>
      <w:r>
        <w:rPr/>
        <w:t xml:space="preserve">Complete project walkthrough, implementation record and operating guide</w:t>
      </w:r>
    </w:p>
    <w:p>
      <w:pPr>
        <w:pStyle w:val="CoverMeta"/>
      </w:pPr>
      <w:r>
        <w:rPr>
          <w:b/>
        </w:rPr>
        <w:t xml:space="preserve">Prepared:</w:t>
      </w:r>
      <w:r>
        <w:rPr/>
        <w:t xml:space="preserve"> 19 October 2026 · </w:t>
      </w:r>
      <w:r>
        <w:rPr>
          <w:b/>
        </w:rPr>
        <w:t xml:space="preserve">Baseline:</w:t>
      </w:r>
      <w:r>
        <w:rPr/>
        <w:t xml:space="preserve"> </w:t>
      </w:r>
      <w:r>
        <w:rPr>
          <w:rFonts w:ascii="Consolas" w:hAnsi="Consolas"/>
          <w:sz w:val="19"/>
          <w:color w:val="155E75"/>
        </w:rPr>
        <w:t xml:space="preserve">f950a779c0517472ac62321beda890db0639dfc5</w:t>
      </w:r>
      <w:r>
        <w:rPr/>
        <w:t xml:space="preserve"> · </w:t>
      </w:r>
      <w:r>
        <w:rPr>
          <w:b/>
        </w:rPr>
        <w:t xml:space="preserve">Audience:</w:t>
      </w:r>
      <w:r>
        <w:rPr/>
        <w:t xml:space="preserve"> development, QA, product and operations teams.</w:t>
      </w:r>
    </w:p>
    <w:p>
      <w:pPr>
        <w:pStyle w:val="Normal"/>
      </w:pPr>
      <w:r>
        <w:rPr/>
        <w:t xml:space="preserve">This document explains the implementation visible in the repository and the reasons its main mechanisms matter. It describes project work rather than claiming that one person authored every change. Commit references establish a change history; personal contribution ownership must be confirmed with the contributors. The QA results cited here were collected earlier on 19 October and are recorded in </w:t>
      </w:r>
      <w:r>
        <w:rPr>
          <w:rFonts w:ascii="Consolas" w:hAnsi="Consolas"/>
          <w:sz w:val="19"/>
          <w:color w:val="155E75"/>
        </w:rPr>
        <w:t xml:space="preserve">docs/QA-REPORT.md</w:t>
      </w:r>
      <w:r>
        <w:rPr/>
        <w:t xml:space="preserve">; generating this document does not rerun them.</w:t>
      </w:r>
    </w:p>
    <w:p>
      <w:pPr>
        <w:pStyle w:val="CoverMeta"/>
      </w:pPr>
      <w:r>
        <w:rPr/>
        <w:t xml:space="preserve">Source-based edition • 19 October 2026</w:t>
      </w:r>
    </w:p>
    <w:p>
      <w:pPr>
        <w:pStyle w:val="ContentsTitle"/>
        <w:pageBreakBefore/>
      </w:pPr>
      <w:r>
        <w:rPr/>
        <w:t xml:space="preserve">Contents</w:t>
      </w:r>
    </w:p>
    <w:p>
      <w:pPr>
        <w:pStyle w:val="Small"/>
      </w:pPr>
      <w:r>
        <w:rPr/>
        <w:t xml:space="preserve">Select a chapter to jump to it. The Navigation Pane also lists the document headings.</w:t>
      </w:r>
    </w:p>
    <w:p>
      <w:pPr>
        <w:pStyle w:val="ContentsEntry"/>
      </w:pPr>
      <w:hyperlink w:anchor="chapter_1">
        <w:r>
          <w:rPr>
            <w:color w:val="16324F"/>
          </w:rPr>
          <w:t xml:space="preserve">1. Start here: what the team is receiving</w:t>
        </w:r>
      </w:hyperlink>
    </w:p>
    <w:p>
      <w:pPr>
        <w:pStyle w:val="ContentsEntry"/>
      </w:pPr>
      <w:hyperlink w:anchor="chapter_2">
        <w:r>
          <w:rPr>
            <w:color w:val="16324F"/>
          </w:rPr>
          <w:t xml:space="preserve">2. Work completed and recent change history</w:t>
        </w:r>
      </w:hyperlink>
    </w:p>
    <w:p>
      <w:pPr>
        <w:pStyle w:val="ContentsEntry"/>
      </w:pPr>
      <w:hyperlink w:anchor="chapter_3">
        <w:r>
          <w:rPr>
            <w:color w:val="16324F"/>
          </w:rPr>
          <w:t xml:space="preserve">3. Technology stack and responsibilities</w:t>
        </w:r>
      </w:hyperlink>
    </w:p>
    <w:p>
      <w:pPr>
        <w:pStyle w:val="ContentsEntry"/>
      </w:pPr>
      <w:hyperlink w:anchor="chapter_4">
        <w:r>
          <w:rPr>
            <w:color w:val="16324F"/>
          </w:rPr>
          <w:t xml:space="preserve">4. Architecture and repository walkthrough</w:t>
        </w:r>
      </w:hyperlink>
    </w:p>
    <w:p>
      <w:pPr>
        <w:pStyle w:val="ContentsEntry"/>
      </w:pPr>
      <w:hyperlink w:anchor="chapter_5">
        <w:r>
          <w:rPr>
            <w:color w:val="16324F"/>
          </w:rPr>
          <w:t xml:space="preserve">5. Roles, permissions and data ownership</w:t>
        </w:r>
      </w:hyperlink>
    </w:p>
    <w:p>
      <w:pPr>
        <w:pStyle w:val="ContentsEntry"/>
      </w:pPr>
      <w:hyperlink w:anchor="chapter_6">
        <w:r>
          <w:rPr>
            <w:color w:val="16324F"/>
          </w:rPr>
          <w:t xml:space="preserve">6. Feature walkthrough and team demonstration paths</w:t>
        </w:r>
      </w:hyperlink>
    </w:p>
    <w:p>
      <w:pPr>
        <w:pStyle w:val="ContentsEntry"/>
      </w:pPr>
      <w:hyperlink w:anchor="chapter_7">
        <w:r>
          <w:rPr>
            <w:color w:val="16324F"/>
          </w:rPr>
          <w:t xml:space="preserve">7. Database design and important relationships</w:t>
        </w:r>
      </w:hyperlink>
    </w:p>
    <w:p>
      <w:pPr>
        <w:pStyle w:val="ContentsEntry"/>
      </w:pPr>
      <w:hyperlink w:anchor="chapter_8">
        <w:r>
          <w:rPr>
            <w:color w:val="16324F"/>
          </w:rPr>
          <w:t xml:space="preserve">8. Core workflows: authentication, catalog and inventory</w:t>
        </w:r>
      </w:hyperlink>
    </w:p>
    <w:p>
      <w:pPr>
        <w:pStyle w:val="ContentsEntry"/>
      </w:pPr>
      <w:hyperlink w:anchor="chapter_9">
        <w:r>
          <w:rPr>
            <w:color w:val="16324F"/>
          </w:rPr>
          <w:t xml:space="preserve">9. Checkout, payments, delivery, returns and engagement</w:t>
        </w:r>
      </w:hyperlink>
    </w:p>
    <w:p>
      <w:pPr>
        <w:pStyle w:val="ContentsEntry"/>
      </w:pPr>
      <w:hyperlink w:anchor="chapter_10">
        <w:r>
          <w:rPr>
            <w:color w:val="16324F"/>
          </w:rPr>
          <w:t xml:space="preserve">10. Frontend state and API contracts</w:t>
        </w:r>
      </w:hyperlink>
    </w:p>
    <w:p>
      <w:pPr>
        <w:pStyle w:val="ContentsEntry"/>
      </w:pPr>
      <w:hyperlink w:anchor="chapter_11">
        <w:r>
          <w:rPr>
            <w:color w:val="16324F"/>
          </w:rPr>
          <w:t xml:space="preserve">11. Local setup, environment and demo data</w:t>
        </w:r>
      </w:hyperlink>
    </w:p>
    <w:p>
      <w:pPr>
        <w:pStyle w:val="ContentsEntry"/>
      </w:pPr>
      <w:hyperlink w:anchor="chapter_12">
        <w:r>
          <w:rPr>
            <w:color w:val="16324F"/>
          </w:rPr>
          <w:t xml:space="preserve">12. How teammates should continue development</w:t>
        </w:r>
      </w:hyperlink>
    </w:p>
    <w:p>
      <w:pPr>
        <w:pStyle w:val="ContentsEntry"/>
      </w:pPr>
      <w:hyperlink w:anchor="chapter_13">
        <w:r>
          <w:rPr>
            <w:color w:val="16324F"/>
          </w:rPr>
          <w:t xml:space="preserve">13. Testing, quality evidence and coverage limits</w:t>
        </w:r>
      </w:hyperlink>
    </w:p>
    <w:p>
      <w:pPr>
        <w:pStyle w:val="ContentsEntry"/>
      </w:pPr>
      <w:hyperlink w:anchor="chapter_14">
        <w:r>
          <w:rPr>
            <w:color w:val="16324F"/>
          </w:rPr>
          <w:t xml:space="preserve">14. Security and business-rule boundaries</w:t>
        </w:r>
      </w:hyperlink>
    </w:p>
    <w:p>
      <w:pPr>
        <w:pStyle w:val="ContentsEntry"/>
      </w:pPr>
      <w:hyperlink w:anchor="chapter_15">
        <w:r>
          <w:rPr>
            <w:color w:val="16324F"/>
          </w:rPr>
          <w:t xml:space="preserve">15. Deployment, background work and recovery</w:t>
        </w:r>
      </w:hyperlink>
    </w:p>
    <w:p>
      <w:pPr>
        <w:pStyle w:val="ContentsEntry"/>
      </w:pPr>
      <w:hyperlink w:anchor="chapter_16">
        <w:r>
          <w:rPr>
            <w:color w:val="16324F"/>
          </w:rPr>
          <w:t xml:space="preserve">16. Suggested team walkthrough</w:t>
        </w:r>
      </w:hyperlink>
    </w:p>
    <w:p>
      <w:pPr>
        <w:pStyle w:val="ContentsEntry"/>
      </w:pPr>
      <w:hyperlink w:anchor="chapter_17">
        <w:r>
          <w:rPr>
            <w:color w:val="16324F"/>
          </w:rPr>
          <w:t xml:space="preserve">17. Known issues, next steps and troubleshooting</w:t>
        </w:r>
      </w:hyperlink>
    </w:p>
    <w:p>
      <w:pPr>
        <w:pStyle w:val="ContentsEntry"/>
      </w:pPr>
      <w:hyperlink w:anchor="chapter_18">
        <w:r>
          <w:rPr>
            <w:color w:val="16324F"/>
          </w:rPr>
          <w:t xml:space="preserve">18. Reference map and glossary</w:t>
        </w:r>
      </w:hyperlink>
    </w:p>
    <w:p>
      <w:pPr>
        <w:pStyle w:val="Small"/>
      </w:pPr>
      <w:r>
        <w:rPr/>
        <w:t xml:space="preserve">Repository baseline: f950a779c0517472ac62321beda890db0639dfc5. Referenced file links work when this document stays in the repository docs folder.</w:t>
      </w:r>
    </w:p>
    <w:p>
      <w:pPr>
        <w:pStyle w:val="Heading1"/>
      </w:pPr>
      <w:bookmarkStart w:id="1" w:name="chapter_1"/>
      <w:r>
        <w:rPr/>
        <w:t xml:space="preserve">1. Start here: what the team is receiving</w:t>
      </w:r>
      <w:bookmarkEnd w:id="1"/>
    </w:p>
    <w:p>
      <w:pPr>
        <w:pStyle w:val="Normal"/>
      </w:pPr>
      <w:r>
        <w:rPr/>
        <w:t xml:space="preserve">E-KHMER is a full-stack marketplace application. Customers discover products from multiple shops, add specific product options to a cart, choose delivery and place an order. Shop owners and managers maintain their own catalog, inventory and fulfillment. A super administrator manages platform-wide records and operations.</w:t>
      </w:r>
    </w:p>
    <w:p>
      <w:pPr>
        <w:pStyle w:val="Normal"/>
      </w:pPr>
      <w:r>
        <w:rPr/>
        <w:t xml:space="preserve">The implementation extends beyond a storefront prototype. The backend persists orders, stock reservations, shop allocations, payment verification, returns, refunds and support. The frontend provides separate customer, seller and administration workspaces. Docker configuration, scheduled maintenance, queue processing, backups and CI are supplied alongside the application.</w:t>
      </w:r>
    </w:p>
    <w:p>
      <w:pPr>
        <w:pStyle w:val="Normal"/>
      </w:pPr>
      <w:r>
        <w:rPr>
          <w:b/>
        </w:rPr>
        <w:t xml:space="preserve">Current boundary:</w:t>
      </w:r>
      <w:r>
        <w:rPr/>
        <w:t xml:space="preserve"> implemented software and automated checks are available. Real bank transfers, production email, remote deployment, physical-device scanning and operational acceptance still require completion. Checkout currency is USD. The platform does not hold seller balances or send bank payouts.</w:t>
      </w:r>
    </w:p>
    <w:p>
      <w:pPr>
        <w:pStyle w:val="Heading2"/>
      </w:pPr>
      <w:r>
        <w:rPr/>
        <w:t xml:space="preserve">How to read this document</w:t>
      </w:r>
    </w:p>
    <w:tbl>
      <w:tblPr>
        <w:tblW w:w="9770" w:type="dxa"/>
        <w:tblLayout w:type="fixed"/>
        <w:tblCellMar>
          <w:top w:w="90" w:type="dxa"/>
          <w:left w:w="105" w:type="dxa"/>
          <w:bottom w:w="90" w:type="dxa"/>
          <w:right w:w="105" w:type="dxa"/>
        </w:tblCellMar>
        <w:tblBorders>
          <w:insideH w:val="single" w:sz="4" w:color="DCE5ED"/>
        </w:tblBorders>
      </w:tblPr>
      <w:tblGrid>
        <w:gridCol w:w="3100"/>
        <w:gridCol w:w="6670"/>
      </w:tblGrid>
      <w:tr>
        <w:trPr>
          <w:cantSplit/>
          <w:tblHeader/>
        </w:trPr>
        <w:tc>
          <w:tcPr>
            <w:tcW w:w="3100" w:type="dxa"/>
            <w:shd w:fill="16324F"/>
            <w:vAlign w:val="top"/>
          </w:tcPr>
          <w:p>
            <w:pPr>
              <w:pStyle w:val="TableText"/>
            </w:pPr>
            <w:r>
              <w:rPr>
                <w:sz w:val="18"/>
                <w:b/>
                <w:color w:val="FFFFFF"/>
              </w:rPr>
              <w:t xml:space="preserve">Team member</w:t>
            </w:r>
          </w:p>
        </w:tc>
        <w:tc>
          <w:tcPr>
            <w:tcW w:w="6670" w:type="dxa"/>
            <w:shd w:fill="16324F"/>
            <w:vAlign w:val="top"/>
          </w:tcPr>
          <w:p>
            <w:pPr>
              <w:pStyle w:val="TableText"/>
            </w:pPr>
            <w:r>
              <w:rPr>
                <w:sz w:val="18"/>
                <w:b/>
                <w:color w:val="FFFFFF"/>
              </w:rPr>
              <w:t xml:space="preserve">Suggested reading order</w:t>
            </w:r>
          </w:p>
        </w:tc>
      </w:tr>
      <w:tr>
        <w:trPr>
          <w:cantSplit/>
        </w:trPr>
        <w:tc>
          <w:tcPr>
            <w:tcW w:w="3100" w:type="dxa"/>
            <w:shd w:fill="F0F5F9"/>
            <w:vAlign w:val="top"/>
          </w:tcPr>
          <w:p>
            <w:pPr>
              <w:pStyle w:val="TableText"/>
            </w:pPr>
            <w:r>
              <w:rPr>
                <w:sz w:val="18"/>
              </w:rPr>
              <w:t xml:space="preserve">New teammate</w:t>
            </w:r>
          </w:p>
        </w:tc>
        <w:tc>
          <w:tcPr>
            <w:tcW w:w="6670" w:type="dxa"/>
            <w:shd w:fill="F0F5F9"/>
            <w:vAlign w:val="top"/>
          </w:tcPr>
          <w:p>
            <w:pPr>
              <w:pStyle w:val="TableText"/>
            </w:pPr>
            <w:r>
              <w:rPr>
                <w:sz w:val="18"/>
              </w:rPr>
              <w:t xml:space="preserve">Chapters 1–5, then local setup in Chapter 11 and the demonstration in Chapter 16.</w:t>
            </w:r>
          </w:p>
        </w:tc>
      </w:tr>
      <w:tr>
        <w:trPr>
          <w:cantSplit/>
        </w:trPr>
        <w:tc>
          <w:tcPr>
            <w:tcW w:w="3100" w:type="dxa"/>
            <w:shd w:fill="FFFFFF"/>
            <w:vAlign w:val="top"/>
          </w:tcPr>
          <w:p>
            <w:pPr>
              <w:pStyle w:val="TableText"/>
            </w:pPr>
            <w:r>
              <w:rPr>
                <w:sz w:val="18"/>
              </w:rPr>
              <w:t xml:space="preserve">Frontend developer</w:t>
            </w:r>
          </w:p>
        </w:tc>
        <w:tc>
          <w:tcPr>
            <w:tcW w:w="6670" w:type="dxa"/>
            <w:shd w:fill="FFFFFF"/>
            <w:vAlign w:val="top"/>
          </w:tcPr>
          <w:p>
            <w:pPr>
              <w:pStyle w:val="TableText"/>
            </w:pPr>
            <w:r>
              <w:rPr>
                <w:sz w:val="18"/>
              </w:rPr>
              <w:t xml:space="preserve">Chapters 4–6, 9, 12 and 13; use the source map in Chapter 18.</w:t>
            </w:r>
          </w:p>
        </w:tc>
      </w:tr>
      <w:tr>
        <w:trPr>
          <w:cantSplit/>
        </w:trPr>
        <w:tc>
          <w:tcPr>
            <w:tcW w:w="3100" w:type="dxa"/>
            <w:shd w:fill="F0F5F9"/>
            <w:vAlign w:val="top"/>
          </w:tcPr>
          <w:p>
            <w:pPr>
              <w:pStyle w:val="TableText"/>
            </w:pPr>
            <w:r>
              <w:rPr>
                <w:sz w:val="18"/>
              </w:rPr>
              <w:t xml:space="preserve">Backend developer</w:t>
            </w:r>
          </w:p>
        </w:tc>
        <w:tc>
          <w:tcPr>
            <w:tcW w:w="6670" w:type="dxa"/>
            <w:shd w:fill="F0F5F9"/>
            <w:vAlign w:val="top"/>
          </w:tcPr>
          <w:p>
            <w:pPr>
              <w:pStyle w:val="TableText"/>
            </w:pPr>
            <w:r>
              <w:rPr>
                <w:sz w:val="18"/>
              </w:rPr>
              <w:t xml:space="preserve">Chapters 4, 7–10, 12–14 and the database catalog.</w:t>
            </w:r>
          </w:p>
        </w:tc>
      </w:tr>
      <w:tr>
        <w:trPr>
          <w:cantSplit/>
        </w:trPr>
        <w:tc>
          <w:tcPr>
            <w:tcW w:w="3100" w:type="dxa"/>
            <w:shd w:fill="FFFFFF"/>
            <w:vAlign w:val="top"/>
          </w:tcPr>
          <w:p>
            <w:pPr>
              <w:pStyle w:val="TableText"/>
            </w:pPr>
            <w:r>
              <w:rPr>
                <w:sz w:val="18"/>
              </w:rPr>
              <w:t xml:space="preserve">QA / product</w:t>
            </w:r>
          </w:p>
        </w:tc>
        <w:tc>
          <w:tcPr>
            <w:tcW w:w="6670" w:type="dxa"/>
            <w:shd w:fill="FFFFFF"/>
            <w:vAlign w:val="top"/>
          </w:tcPr>
          <w:p>
            <w:pPr>
              <w:pStyle w:val="TableText"/>
            </w:pPr>
            <w:r>
              <w:rPr>
                <w:sz w:val="18"/>
              </w:rPr>
              <w:t xml:space="preserve">Feature walkthrough, business examples, verification limits and the remaining-work checklist.</w:t>
            </w:r>
          </w:p>
        </w:tc>
      </w:tr>
      <w:tr>
        <w:trPr>
          <w:cantSplit/>
        </w:trPr>
        <w:tc>
          <w:tcPr>
            <w:tcW w:w="3100" w:type="dxa"/>
            <w:shd w:fill="F0F5F9"/>
            <w:vAlign w:val="top"/>
          </w:tcPr>
          <w:p>
            <w:pPr>
              <w:pStyle w:val="TableText"/>
            </w:pPr>
            <w:r>
              <w:rPr>
                <w:sz w:val="18"/>
              </w:rPr>
              <w:t xml:space="preserve">Operations</w:t>
            </w:r>
          </w:p>
        </w:tc>
        <w:tc>
          <w:tcPr>
            <w:tcW w:w="6670" w:type="dxa"/>
            <w:shd w:fill="F0F5F9"/>
            <w:vAlign w:val="top"/>
          </w:tcPr>
          <w:p>
            <w:pPr>
              <w:pStyle w:val="TableText"/>
            </w:pPr>
            <w:r>
              <w:rPr>
                <w:sz w:val="18"/>
              </w:rPr>
              <w:t xml:space="preserve">Chapters 11, 14, 15 and 17; follow the detailed Oracle deployment guide before release.</w:t>
            </w:r>
          </w:p>
        </w:tc>
      </w:tr>
    </w:tbl>
    <w:p>
      <w:pPr>
        <w:pStyle w:val="Normal"/>
        <w:spacing w:after="60"/>
      </w:pPr>
    </w:p>
    <w:p>
      <w:pPr>
        <w:pStyle w:val="Normal"/>
      </w:pPr>
      <w:r>
        <w:rPr/>
        <w:t xml:space="preserve">The Word document is an export of this Markdown source. Update the source first, then run </w:t>
      </w:r>
      <w:r>
        <w:rPr>
          <w:rFonts w:ascii="Consolas" w:hAnsi="Consolas"/>
          <w:sz w:val="19"/>
          <w:color w:val="155E75"/>
        </w:rPr>
        <w:t xml:space="preserve">python docs/tools/build_team_handover.py</w:t>
      </w:r>
      <w:r>
        <w:rPr/>
        <w:t xml:space="preserve"> from the repository root to regenerate the Word file. This exporter uses Python's standard library; no application dependencies or services are needed.</w:t>
      </w:r>
    </w:p>
    <w:p>
      <w:pPr>
        <w:pStyle w:val="Heading1"/>
      </w:pPr>
      <w:bookmarkStart w:id="2" w:name="chapter_2"/>
      <w:r>
        <w:rPr/>
        <w:t xml:space="preserve">2. Work completed and recent change history</w:t>
      </w:r>
      <w:bookmarkEnd w:id="2"/>
    </w:p>
    <w:p>
      <w:pPr>
        <w:pStyle w:val="Normal"/>
      </w:pPr>
      <w:r>
        <w:rPr/>
        <w:t xml:space="preserve">The table records significant repository changes and their user-visible effect. It is not an exhaustive commit list or a production release certificate.</w:t>
      </w:r>
    </w:p>
    <w:tbl>
      <w:tblPr>
        <w:tblW w:w="9770" w:type="dxa"/>
        <w:tblLayout w:type="fixed"/>
        <w:tblCellMar>
          <w:top w:w="90" w:type="dxa"/>
          <w:left w:w="105" w:type="dxa"/>
          <w:bottom w:w="90" w:type="dxa"/>
          <w:right w:w="105" w:type="dxa"/>
        </w:tblCellMar>
        <w:tblBorders>
          <w:insideH w:val="single" w:sz="4" w:color="DCE5ED"/>
        </w:tblBorders>
      </w:tblPr>
      <w:tblGrid>
        <w:gridCol w:w="2300"/>
        <w:gridCol w:w="3050"/>
        <w:gridCol w:w="4420"/>
      </w:tblGrid>
      <w:tr>
        <w:trPr>
          <w:cantSplit/>
          <w:tblHeader/>
        </w:trPr>
        <w:tc>
          <w:tcPr>
            <w:tcW w:w="2300" w:type="dxa"/>
            <w:shd w:fill="16324F"/>
            <w:vAlign w:val="top"/>
          </w:tcPr>
          <w:p>
            <w:pPr>
              <w:pStyle w:val="TableText"/>
            </w:pPr>
            <w:r>
              <w:rPr>
                <w:sz w:val="18"/>
                <w:b/>
                <w:color w:val="FFFFFF"/>
              </w:rPr>
              <w:t xml:space="preserve">Date / commit</w:t>
            </w:r>
          </w:p>
        </w:tc>
        <w:tc>
          <w:tcPr>
            <w:tcW w:w="3050" w:type="dxa"/>
            <w:shd w:fill="16324F"/>
            <w:vAlign w:val="top"/>
          </w:tcPr>
          <w:p>
            <w:pPr>
              <w:pStyle w:val="TableText"/>
            </w:pPr>
            <w:r>
              <w:rPr>
                <w:sz w:val="18"/>
                <w:b/>
                <w:color w:val="FFFFFF"/>
              </w:rPr>
              <w:t xml:space="preserve">Work delivered</w:t>
            </w:r>
          </w:p>
        </w:tc>
        <w:tc>
          <w:tcPr>
            <w:tcW w:w="4420" w:type="dxa"/>
            <w:shd w:fill="16324F"/>
            <w:vAlign w:val="top"/>
          </w:tcPr>
          <w:p>
            <w:pPr>
              <w:pStyle w:val="TableText"/>
            </w:pPr>
            <w:r>
              <w:rPr>
                <w:sz w:val="18"/>
                <w:b/>
                <w:color w:val="FFFFFF"/>
              </w:rPr>
              <w:t xml:space="preserve">Result for users and teammates</w:t>
            </w:r>
          </w:p>
        </w:tc>
      </w:tr>
      <w:tr>
        <w:trPr>
          <w:cantSplit/>
        </w:trPr>
        <w:tc>
          <w:tcPr>
            <w:tcW w:w="2300" w:type="dxa"/>
            <w:shd w:fill="F0F5F9"/>
            <w:vAlign w:val="top"/>
          </w:tcPr>
          <w:p>
            <w:pPr>
              <w:pStyle w:val="TableText"/>
            </w:pPr>
            <w:r>
              <w:rPr>
                <w:sz w:val="18"/>
              </w:rPr>
              <w:t xml:space="preserve">18 Oct · </w:t>
            </w:r>
            <w:r>
              <w:rPr>
                <w:sz w:val="18"/>
                <w:rFonts w:ascii="Consolas" w:hAnsi="Consolas"/>
                <w:sz w:val="19"/>
                <w:color w:val="155E75"/>
              </w:rPr>
              <w:t xml:space="preserve">f950a77</w:t>
            </w:r>
          </w:p>
        </w:tc>
        <w:tc>
          <w:tcPr>
            <w:tcW w:w="3050" w:type="dxa"/>
            <w:shd w:fill="F0F5F9"/>
            <w:vAlign w:val="top"/>
          </w:tcPr>
          <w:p>
            <w:pPr>
              <w:pStyle w:val="TableText"/>
            </w:pPr>
            <w:r>
              <w:rPr>
                <w:sz w:val="18"/>
              </w:rPr>
              <w:t xml:space="preserve">Product-form stock editing and regression cases.</w:t>
            </w:r>
          </w:p>
        </w:tc>
        <w:tc>
          <w:tcPr>
            <w:tcW w:w="4420" w:type="dxa"/>
            <w:shd w:fill="F0F5F9"/>
            <w:vAlign w:val="top"/>
          </w:tcPr>
          <w:p>
            <w:pPr>
              <w:pStyle w:val="TableText"/>
            </w:pPr>
            <w:r>
              <w:rPr>
                <w:sz w:val="18"/>
              </w:rPr>
              <w:t xml:space="preserve">Sellers can change stock for a simple product or individual options. Unrelated edits preserve stock; reservations cannot be overwritten.</w:t>
            </w:r>
          </w:p>
        </w:tc>
      </w:tr>
      <w:tr>
        <w:trPr>
          <w:cantSplit/>
        </w:trPr>
        <w:tc>
          <w:tcPr>
            <w:tcW w:w="2300" w:type="dxa"/>
            <w:shd w:fill="FFFFFF"/>
            <w:vAlign w:val="top"/>
          </w:tcPr>
          <w:p>
            <w:pPr>
              <w:pStyle w:val="TableText"/>
            </w:pPr>
            <w:r>
              <w:rPr>
                <w:sz w:val="18"/>
              </w:rPr>
              <w:t xml:space="preserve">18 Oct · </w:t>
            </w:r>
            <w:r>
              <w:rPr>
                <w:sz w:val="18"/>
                <w:rFonts w:ascii="Consolas" w:hAnsi="Consolas"/>
                <w:sz w:val="19"/>
                <w:color w:val="155E75"/>
              </w:rPr>
              <w:t xml:space="preserve">cf9aca5</w:t>
            </w:r>
            <w:r>
              <w:rPr>
                <w:sz w:val="18"/>
              </w:rPr>
              <w:t xml:space="preserve">, </w:t>
            </w:r>
            <w:r>
              <w:rPr>
                <w:sz w:val="18"/>
                <w:rFonts w:ascii="Consolas" w:hAnsi="Consolas"/>
                <w:sz w:val="19"/>
                <w:color w:val="155E75"/>
              </w:rPr>
              <w:t xml:space="preserve">162f063</w:t>
            </w:r>
          </w:p>
        </w:tc>
        <w:tc>
          <w:tcPr>
            <w:tcW w:w="3050" w:type="dxa"/>
            <w:shd w:fill="FFFFFF"/>
            <w:vAlign w:val="top"/>
          </w:tcPr>
          <w:p>
            <w:pPr>
              <w:pStyle w:val="TableText"/>
            </w:pPr>
            <w:r>
              <w:rPr>
                <w:sz w:val="18"/>
              </w:rPr>
              <w:t xml:space="preserve">Consistent demo seed data and </w:t>
            </w:r>
            <w:r>
              <w:rPr>
                <w:sz w:val="18"/>
                <w:rFonts w:ascii="Consolas" w:hAnsi="Consolas"/>
                <w:sz w:val="19"/>
                <w:color w:val="155E75"/>
              </w:rPr>
              <w:t xml:space="preserve">.com</w:t>
            </w:r>
            <w:r>
              <w:rPr>
                <w:sz w:val="18"/>
              </w:rPr>
              <w:t xml:space="preserve"> account domains.</w:t>
            </w:r>
          </w:p>
        </w:tc>
        <w:tc>
          <w:tcPr>
            <w:tcW w:w="4420" w:type="dxa"/>
            <w:shd w:fill="FFFFFF"/>
            <w:vAlign w:val="top"/>
          </w:tcPr>
          <w:p>
            <w:pPr>
              <w:pStyle w:val="TableText"/>
            </w:pPr>
            <w:r>
              <w:rPr>
                <w:sz w:val="18"/>
              </w:rPr>
              <w:t xml:space="preserve">Repeatable related records make local demonstrations easier; old login/reset/session data is cleared during reseeding.</w:t>
            </w:r>
          </w:p>
        </w:tc>
      </w:tr>
      <w:tr>
        <w:trPr>
          <w:cantSplit/>
        </w:trPr>
        <w:tc>
          <w:tcPr>
            <w:tcW w:w="2300" w:type="dxa"/>
            <w:shd w:fill="F0F5F9"/>
            <w:vAlign w:val="top"/>
          </w:tcPr>
          <w:p>
            <w:pPr>
              <w:pStyle w:val="TableText"/>
            </w:pPr>
            <w:r>
              <w:rPr>
                <w:sz w:val="18"/>
              </w:rPr>
              <w:t xml:space="preserve">18 Oct · </w:t>
            </w:r>
            <w:r>
              <w:rPr>
                <w:sz w:val="18"/>
                <w:rFonts w:ascii="Consolas" w:hAnsi="Consolas"/>
                <w:sz w:val="19"/>
                <w:color w:val="155E75"/>
              </w:rPr>
              <w:t xml:space="preserve">1520333</w:t>
            </w:r>
          </w:p>
        </w:tc>
        <w:tc>
          <w:tcPr>
            <w:tcW w:w="3050" w:type="dxa"/>
            <w:shd w:fill="F0F5F9"/>
            <w:vAlign w:val="top"/>
          </w:tcPr>
          <w:p>
            <w:pPr>
              <w:pStyle w:val="TableText"/>
            </w:pPr>
            <w:r>
              <w:rPr>
                <w:sz w:val="18"/>
              </w:rPr>
              <w:t xml:space="preserve">Shared layout alignment.</w:t>
            </w:r>
          </w:p>
        </w:tc>
        <w:tc>
          <w:tcPr>
            <w:tcW w:w="4420" w:type="dxa"/>
            <w:shd w:fill="F0F5F9"/>
            <w:vAlign w:val="top"/>
          </w:tcPr>
          <w:p>
            <w:pPr>
              <w:pStyle w:val="TableText"/>
            </w:pPr>
            <w:r>
              <w:rPr>
                <w:sz w:val="18"/>
              </w:rPr>
              <w:t xml:space="preserve">Store, account, seller and admin pages use consistent content widths, covered at desktop and mobile sizes.</w:t>
            </w:r>
          </w:p>
        </w:tc>
      </w:tr>
      <w:tr>
        <w:trPr>
          <w:cantSplit/>
        </w:trPr>
        <w:tc>
          <w:tcPr>
            <w:tcW w:w="2300" w:type="dxa"/>
            <w:shd w:fill="FFFFFF"/>
            <w:vAlign w:val="top"/>
          </w:tcPr>
          <w:p>
            <w:pPr>
              <w:pStyle w:val="TableText"/>
            </w:pPr>
            <w:r>
              <w:rPr>
                <w:sz w:val="18"/>
              </w:rPr>
              <w:t xml:space="preserve">17 Oct · </w:t>
            </w:r>
            <w:r>
              <w:rPr>
                <w:sz w:val="18"/>
                <w:rFonts w:ascii="Consolas" w:hAnsi="Consolas"/>
                <w:sz w:val="19"/>
                <w:color w:val="155E75"/>
              </w:rPr>
              <w:t xml:space="preserve">5187a45</w:t>
            </w:r>
          </w:p>
        </w:tc>
        <w:tc>
          <w:tcPr>
            <w:tcW w:w="3050" w:type="dxa"/>
            <w:shd w:fill="FFFFFF"/>
            <w:vAlign w:val="top"/>
          </w:tcPr>
          <w:p>
            <w:pPr>
              <w:pStyle w:val="TableText"/>
            </w:pPr>
            <w:r>
              <w:rPr>
                <w:sz w:val="18"/>
              </w:rPr>
              <w:t xml:space="preserve">Full-frame barcode scanning and torch constraints.</w:t>
            </w:r>
          </w:p>
        </w:tc>
        <w:tc>
          <w:tcPr>
            <w:tcW w:w="4420" w:type="dxa"/>
            <w:shd w:fill="FFFFFF"/>
            <w:vAlign w:val="top"/>
          </w:tcPr>
          <w:p>
            <w:pPr>
              <w:pStyle w:val="TableText"/>
            </w:pPr>
            <w:r>
              <w:rPr>
                <w:sz w:val="18"/>
              </w:rPr>
              <w:t xml:space="preserve">Labels near the frame edges or rotated vertically can be decoded; native detection and background processing reduce main-thread work.</w:t>
            </w:r>
          </w:p>
        </w:tc>
      </w:tr>
      <w:tr>
        <w:trPr>
          <w:cantSplit/>
        </w:trPr>
        <w:tc>
          <w:tcPr>
            <w:tcW w:w="2300" w:type="dxa"/>
            <w:shd w:fill="F0F5F9"/>
            <w:vAlign w:val="top"/>
          </w:tcPr>
          <w:p>
            <w:pPr>
              <w:pStyle w:val="TableText"/>
            </w:pPr>
            <w:r>
              <w:rPr>
                <w:sz w:val="18"/>
              </w:rPr>
              <w:t xml:space="preserve">17 Oct · </w:t>
            </w:r>
            <w:r>
              <w:rPr>
                <w:sz w:val="18"/>
                <w:rFonts w:ascii="Consolas" w:hAnsi="Consolas"/>
                <w:sz w:val="19"/>
                <w:color w:val="155E75"/>
              </w:rPr>
              <w:t xml:space="preserve">245d32a</w:t>
            </w:r>
          </w:p>
        </w:tc>
        <w:tc>
          <w:tcPr>
            <w:tcW w:w="3050" w:type="dxa"/>
            <w:shd w:fill="F0F5F9"/>
            <w:vAlign w:val="top"/>
          </w:tcPr>
          <w:p>
            <w:pPr>
              <w:pStyle w:val="TableText"/>
            </w:pPr>
            <w:r>
              <w:rPr>
                <w:sz w:val="18"/>
              </w:rPr>
              <w:t xml:space="preserve">Seller camera barcode workflow.</w:t>
            </w:r>
          </w:p>
        </w:tc>
        <w:tc>
          <w:tcPr>
            <w:tcW w:w="4420" w:type="dxa"/>
            <w:shd w:fill="F0F5F9"/>
            <w:vAlign w:val="top"/>
          </w:tcPr>
          <w:p>
            <w:pPr>
              <w:pStyle w:val="TableText"/>
            </w:pPr>
            <w:r>
              <w:rPr>
                <w:sz w:val="18"/>
              </w:rPr>
              <w:t xml:space="preserve">Camera input fills the selected barcode field with permission guidance and cleanup; the seller reviews and explicitly saves.</w:t>
            </w:r>
          </w:p>
        </w:tc>
      </w:tr>
      <w:tr>
        <w:trPr>
          <w:cantSplit/>
        </w:trPr>
        <w:tc>
          <w:tcPr>
            <w:tcW w:w="2300" w:type="dxa"/>
            <w:shd w:fill="FFFFFF"/>
            <w:vAlign w:val="top"/>
          </w:tcPr>
          <w:p>
            <w:pPr>
              <w:pStyle w:val="TableText"/>
            </w:pPr>
            <w:r>
              <w:rPr>
                <w:sz w:val="18"/>
              </w:rPr>
              <w:t xml:space="preserve">17 Oct · </w:t>
            </w:r>
            <w:r>
              <w:rPr>
                <w:sz w:val="18"/>
                <w:rFonts w:ascii="Consolas" w:hAnsi="Consolas"/>
                <w:sz w:val="19"/>
                <w:color w:val="155E75"/>
              </w:rPr>
              <w:t xml:space="preserve">2a75d37</w:t>
            </w:r>
            <w:r>
              <w:rPr>
                <w:sz w:val="18"/>
              </w:rPr>
              <w:t xml:space="preserve"> and related commits</w:t>
            </w:r>
          </w:p>
        </w:tc>
        <w:tc>
          <w:tcPr>
            <w:tcW w:w="3050" w:type="dxa"/>
            <w:shd w:fill="FFFFFF"/>
            <w:vAlign w:val="top"/>
          </w:tcPr>
          <w:p>
            <w:pPr>
              <w:pStyle w:val="TableText"/>
            </w:pPr>
            <w:r>
              <w:rPr>
                <w:sz w:val="18"/>
              </w:rPr>
              <w:t xml:space="preserve">Seller commerce, public shops, verified Bakong, delivery, returns, refunds, support and deployment tooling.</w:t>
            </w:r>
          </w:p>
        </w:tc>
        <w:tc>
          <w:tcPr>
            <w:tcW w:w="4420" w:type="dxa"/>
            <w:shd w:fill="FFFFFF"/>
            <w:vAlign w:val="top"/>
          </w:tcPr>
          <w:p>
            <w:pPr>
              <w:pStyle w:val="TableText"/>
            </w:pPr>
            <w:r>
              <w:rPr>
                <w:sz w:val="18"/>
              </w:rPr>
              <w:t xml:space="preserve">Multi-shop orders have persistent financial and fulfillment records instead of UI-only success messages.</w:t>
            </w:r>
          </w:p>
        </w:tc>
      </w:tr>
      <w:tr>
        <w:trPr>
          <w:cantSplit/>
        </w:trPr>
        <w:tc>
          <w:tcPr>
            <w:tcW w:w="2300" w:type="dxa"/>
            <w:shd w:fill="F0F5F9"/>
            <w:vAlign w:val="top"/>
          </w:tcPr>
          <w:p>
            <w:pPr>
              <w:pStyle w:val="TableText"/>
            </w:pPr>
            <w:r>
              <w:rPr>
                <w:sz w:val="18"/>
              </w:rPr>
              <w:t xml:space="preserve">7 Oct · </w:t>
            </w:r>
            <w:r>
              <w:rPr>
                <w:sz w:val="18"/>
                <w:rFonts w:ascii="Consolas" w:hAnsi="Consolas"/>
                <w:sz w:val="19"/>
                <w:color w:val="155E75"/>
              </w:rPr>
              <w:t xml:space="preserve">7ec2658</w:t>
            </w:r>
            <w:r>
              <w:rPr>
                <w:sz w:val="18"/>
              </w:rPr>
              <w:t xml:space="preserve">, </w:t>
            </w:r>
            <w:r>
              <w:rPr>
                <w:sz w:val="18"/>
                <w:rFonts w:ascii="Consolas" w:hAnsi="Consolas"/>
                <w:sz w:val="19"/>
                <w:color w:val="155E75"/>
              </w:rPr>
              <w:t xml:space="preserve">ee3a59e</w:t>
            </w:r>
            <w:r>
              <w:rPr>
                <w:sz w:val="18"/>
              </w:rPr>
              <w:t xml:space="preserve">, </w:t>
            </w:r>
            <w:r>
              <w:rPr>
                <w:sz w:val="18"/>
                <w:rFonts w:ascii="Consolas" w:hAnsi="Consolas"/>
                <w:sz w:val="19"/>
                <w:color w:val="155E75"/>
              </w:rPr>
              <w:t xml:space="preserve">b79593e</w:t>
            </w:r>
          </w:p>
        </w:tc>
        <w:tc>
          <w:tcPr>
            <w:tcW w:w="3050" w:type="dxa"/>
            <w:shd w:fill="F0F5F9"/>
            <w:vAlign w:val="top"/>
          </w:tcPr>
          <w:p>
            <w:pPr>
              <w:pStyle w:val="TableText"/>
            </w:pPr>
            <w:r>
              <w:rPr>
                <w:sz w:val="18"/>
              </w:rPr>
              <w:t xml:space="preserve">Admin dashboards, receipt layout and notification improvements.</w:t>
            </w:r>
          </w:p>
        </w:tc>
        <w:tc>
          <w:tcPr>
            <w:tcW w:w="4420" w:type="dxa"/>
            <w:shd w:fill="F0F5F9"/>
            <w:vAlign w:val="top"/>
          </w:tcPr>
          <w:p>
            <w:pPr>
              <w:pStyle w:val="TableText"/>
            </w:pPr>
            <w:r>
              <w:rPr>
                <w:sz w:val="18"/>
              </w:rPr>
              <w:t xml:space="preserve">Teams can inspect operational summaries, branded receipts and configured order notifications.</w:t>
            </w:r>
          </w:p>
        </w:tc>
      </w:tr>
    </w:tbl>
    <w:p>
      <w:pPr>
        <w:pStyle w:val="Normal"/>
        <w:spacing w:after="60"/>
      </w:pPr>
    </w:p>
    <w:p>
      <w:pPr>
        <w:pStyle w:val="Normal"/>
      </w:pPr>
      <w:r>
        <w:rPr/>
        <w:t xml:space="preserve">Earlier work provides authentication, catalog, cart, checkout, wishlist, addresses, coupons, reviews and administration. For a detailed change investigation, run </w:t>
      </w:r>
      <w:r>
        <w:rPr>
          <w:rFonts w:ascii="Consolas" w:hAnsi="Consolas"/>
          <w:sz w:val="19"/>
          <w:color w:val="155E75"/>
        </w:rPr>
        <w:t xml:space="preserve">git log --oneline</w:t>
      </w:r>
      <w:r>
        <w:rPr/>
        <w:t xml:space="preserve"> and </w:t>
      </w:r>
      <w:r>
        <w:rPr>
          <w:rFonts w:ascii="Consolas" w:hAnsi="Consolas"/>
          <w:sz w:val="19"/>
          <w:color w:val="155E75"/>
        </w:rPr>
        <w:t xml:space="preserve">git show &lt;commit&gt;</w:t>
      </w:r>
      <w:r>
        <w:rPr/>
        <w:t xml:space="preserve">; inspect final source rather than assuming an older commit message describes every current detail.</w:t>
      </w:r>
    </w:p>
    <w:p>
      <w:pPr>
        <w:pStyle w:val="Heading2"/>
      </w:pPr>
      <w:r>
        <w:rPr/>
        <w:t xml:space="preserve">Important differences from the original agenda</w:t>
      </w:r>
    </w:p>
    <w:p>
      <w:pPr>
        <w:pStyle w:val="Normal"/>
      </w:pPr>
      <w:r>
        <w:rPr/>
        <w:t xml:space="preserve">Authentication uses Sanctum personal access tokens, not JWT refresh/access rotation. Styling currently uses Tailwind, although root project guidance still mentions Bootstrap. Shop access comes from membership in addition to platform roles. An order can have several shop allocations and shipments. Online production checkout uses verified Bakong; generic card/bank/gateway labels are legacy sandbox paths, not integrated production providers.</w:t>
      </w:r>
    </w:p>
    <w:p>
      <w:pPr>
        <w:pStyle w:val="Heading1"/>
      </w:pPr>
      <w:bookmarkStart w:id="3" w:name="chapter_3"/>
      <w:r>
        <w:rPr/>
        <w:t xml:space="preserve">3. Technology stack and responsibilities</w:t>
      </w:r>
      <w:bookmarkEnd w:id="3"/>
    </w:p>
    <w:p>
      <w:pPr>
        <w:pStyle w:val="Normal"/>
      </w:pPr>
      <w:r>
        <w:rPr/>
        <w:t xml:space="preserve">Versions below come from current manifests/locks or the earlier container verification. A package range is a declared requirement, not a claim about every installed environment.</w:t>
      </w:r>
    </w:p>
    <w:tbl>
      <w:tblPr>
        <w:tblW w:w="9770" w:type="dxa"/>
        <w:tblLayout w:type="fixed"/>
        <w:tblCellMar>
          <w:top w:w="90" w:type="dxa"/>
          <w:left w:w="105" w:type="dxa"/>
          <w:bottom w:w="90" w:type="dxa"/>
          <w:right w:w="105" w:type="dxa"/>
        </w:tblCellMar>
        <w:tblBorders>
          <w:insideH w:val="single" w:sz="4" w:color="DCE5ED"/>
        </w:tblBorders>
      </w:tblPr>
      <w:tblGrid>
        <w:gridCol w:w="2300"/>
        <w:gridCol w:w="3050"/>
        <w:gridCol w:w="4420"/>
      </w:tblGrid>
      <w:tr>
        <w:trPr>
          <w:cantSplit/>
          <w:tblHeader/>
        </w:trPr>
        <w:tc>
          <w:tcPr>
            <w:tcW w:w="2300" w:type="dxa"/>
            <w:shd w:fill="16324F"/>
            <w:vAlign w:val="top"/>
          </w:tcPr>
          <w:p>
            <w:pPr>
              <w:pStyle w:val="TableText"/>
            </w:pPr>
            <w:r>
              <w:rPr>
                <w:sz w:val="18"/>
                <w:b/>
                <w:color w:val="FFFFFF"/>
              </w:rPr>
              <w:t xml:space="preserve">Technology</w:t>
            </w:r>
          </w:p>
        </w:tc>
        <w:tc>
          <w:tcPr>
            <w:tcW w:w="3050" w:type="dxa"/>
            <w:shd w:fill="16324F"/>
            <w:vAlign w:val="top"/>
          </w:tcPr>
          <w:p>
            <w:pPr>
              <w:pStyle w:val="TableText"/>
            </w:pPr>
            <w:r>
              <w:rPr>
                <w:sz w:val="18"/>
                <w:b/>
                <w:color w:val="FFFFFF"/>
              </w:rPr>
              <w:t xml:space="preserve">Version / source</w:t>
            </w:r>
          </w:p>
        </w:tc>
        <w:tc>
          <w:tcPr>
            <w:tcW w:w="4420" w:type="dxa"/>
            <w:shd w:fill="16324F"/>
            <w:vAlign w:val="top"/>
          </w:tcPr>
          <w:p>
            <w:pPr>
              <w:pStyle w:val="TableText"/>
            </w:pPr>
            <w:r>
              <w:rPr>
                <w:sz w:val="18"/>
                <w:b/>
                <w:color w:val="FFFFFF"/>
              </w:rPr>
              <w:t xml:space="preserve">Responsibility</w:t>
            </w:r>
          </w:p>
        </w:tc>
      </w:tr>
      <w:tr>
        <w:trPr>
          <w:cantSplit/>
        </w:trPr>
        <w:tc>
          <w:tcPr>
            <w:tcW w:w="2300" w:type="dxa"/>
            <w:shd w:fill="F0F5F9"/>
            <w:vAlign w:val="top"/>
          </w:tcPr>
          <w:p>
            <w:pPr>
              <w:pStyle w:val="TableText"/>
            </w:pPr>
            <w:r>
              <w:rPr>
                <w:sz w:val="18"/>
              </w:rPr>
              <w:t xml:space="preserve">Laravel</w:t>
            </w:r>
          </w:p>
        </w:tc>
        <w:tc>
          <w:tcPr>
            <w:tcW w:w="3050" w:type="dxa"/>
            <w:shd w:fill="F0F5F9"/>
            <w:vAlign w:val="top"/>
          </w:tcPr>
          <w:p>
            <w:pPr>
              <w:pStyle w:val="TableText"/>
            </w:pPr>
            <w:r>
              <w:rPr>
                <w:sz w:val="18"/>
              </w:rPr>
              <w:t xml:space="preserve">13.37.0 in </w:t>
            </w:r>
            <w:r>
              <w:rPr>
                <w:sz w:val="18"/>
                <w:rFonts w:ascii="Consolas" w:hAnsi="Consolas"/>
                <w:sz w:val="19"/>
                <w:color w:val="155E75"/>
              </w:rPr>
              <w:t xml:space="preserve">backend/composer.lock</w:t>
            </w:r>
          </w:p>
        </w:tc>
        <w:tc>
          <w:tcPr>
            <w:tcW w:w="4420" w:type="dxa"/>
            <w:shd w:fill="F0F5F9"/>
            <w:vAlign w:val="top"/>
          </w:tcPr>
          <w:p>
            <w:pPr>
              <w:pStyle w:val="TableText"/>
            </w:pPr>
            <w:r>
              <w:rPr>
                <w:sz w:val="18"/>
              </w:rPr>
              <w:t xml:space="preserve">REST API, validation, authorization, ORM, notifications and scheduling.</w:t>
            </w:r>
          </w:p>
        </w:tc>
      </w:tr>
      <w:tr>
        <w:trPr>
          <w:cantSplit/>
        </w:trPr>
        <w:tc>
          <w:tcPr>
            <w:tcW w:w="2300" w:type="dxa"/>
            <w:shd w:fill="FFFFFF"/>
            <w:vAlign w:val="top"/>
          </w:tcPr>
          <w:p>
            <w:pPr>
              <w:pStyle w:val="TableText"/>
            </w:pPr>
            <w:r>
              <w:rPr>
                <w:sz w:val="18"/>
              </w:rPr>
              <w:t xml:space="preserve">PHP</w:t>
            </w:r>
          </w:p>
        </w:tc>
        <w:tc>
          <w:tcPr>
            <w:tcW w:w="3050" w:type="dxa"/>
            <w:shd w:fill="FFFFFF"/>
            <w:vAlign w:val="top"/>
          </w:tcPr>
          <w:p>
            <w:pPr>
              <w:pStyle w:val="TableText"/>
            </w:pPr>
            <w:r>
              <w:rPr>
                <w:sz w:val="18"/>
              </w:rPr>
              <w:t xml:space="preserve">Project requires 8.3+; checked container ran 8.3.33</w:t>
            </w:r>
          </w:p>
        </w:tc>
        <w:tc>
          <w:tcPr>
            <w:tcW w:w="4420" w:type="dxa"/>
            <w:shd w:fill="FFFFFF"/>
            <w:vAlign w:val="top"/>
          </w:tcPr>
          <w:p>
            <w:pPr>
              <w:pStyle w:val="TableText"/>
            </w:pPr>
            <w:r>
              <w:rPr>
                <w:sz w:val="18"/>
              </w:rPr>
              <w:t xml:space="preserve">Backend runtime inside Docker.</w:t>
            </w:r>
          </w:p>
        </w:tc>
      </w:tr>
      <w:tr>
        <w:trPr>
          <w:cantSplit/>
        </w:trPr>
        <w:tc>
          <w:tcPr>
            <w:tcW w:w="2300" w:type="dxa"/>
            <w:shd w:fill="F0F5F9"/>
            <w:vAlign w:val="top"/>
          </w:tcPr>
          <w:p>
            <w:pPr>
              <w:pStyle w:val="TableText"/>
            </w:pPr>
            <w:r>
              <w:rPr>
                <w:sz w:val="18"/>
              </w:rPr>
              <w:t xml:space="preserve">Sanctum</w:t>
            </w:r>
          </w:p>
        </w:tc>
        <w:tc>
          <w:tcPr>
            <w:tcW w:w="3050" w:type="dxa"/>
            <w:shd w:fill="F0F5F9"/>
            <w:vAlign w:val="top"/>
          </w:tcPr>
          <w:p>
            <w:pPr>
              <w:pStyle w:val="TableText"/>
            </w:pPr>
            <w:r>
              <w:rPr>
                <w:sz w:val="18"/>
                <w:rFonts w:ascii="Consolas" w:hAnsi="Consolas"/>
                <w:sz w:val="19"/>
                <w:color w:val="155E75"/>
              </w:rPr>
              <w:t xml:space="preserve">^4.0</w:t>
            </w:r>
            <w:r>
              <w:rPr>
                <w:sz w:val="18"/>
              </w:rPr>
              <w:t xml:space="preserve"> requirement</w:t>
            </w:r>
          </w:p>
        </w:tc>
        <w:tc>
          <w:tcPr>
            <w:tcW w:w="4420" w:type="dxa"/>
            <w:shd w:fill="F0F5F9"/>
            <w:vAlign w:val="top"/>
          </w:tcPr>
          <w:p>
            <w:pPr>
              <w:pStyle w:val="TableText"/>
            </w:pPr>
            <w:r>
              <w:rPr>
                <w:sz w:val="18"/>
              </w:rPr>
              <w:t xml:space="preserve">Bearer-token authentication with configurable expiry and revocation.</w:t>
            </w:r>
          </w:p>
        </w:tc>
      </w:tr>
      <w:tr>
        <w:trPr>
          <w:cantSplit/>
        </w:trPr>
        <w:tc>
          <w:tcPr>
            <w:tcW w:w="2300" w:type="dxa"/>
            <w:shd w:fill="FFFFFF"/>
            <w:vAlign w:val="top"/>
          </w:tcPr>
          <w:p>
            <w:pPr>
              <w:pStyle w:val="TableText"/>
            </w:pPr>
            <w:r>
              <w:rPr>
                <w:sz w:val="18"/>
              </w:rPr>
              <w:t xml:space="preserve">Vue / TypeScript</w:t>
            </w:r>
          </w:p>
        </w:tc>
        <w:tc>
          <w:tcPr>
            <w:tcW w:w="3050" w:type="dxa"/>
            <w:shd w:fill="FFFFFF"/>
            <w:vAlign w:val="top"/>
          </w:tcPr>
          <w:p>
            <w:pPr>
              <w:pStyle w:val="TableText"/>
            </w:pPr>
            <w:r>
              <w:rPr>
                <w:sz w:val="18"/>
              </w:rPr>
              <w:t xml:space="preserve">Vue </w:t>
            </w:r>
            <w:r>
              <w:rPr>
                <w:sz w:val="18"/>
                <w:rFonts w:ascii="Consolas" w:hAnsi="Consolas"/>
                <w:sz w:val="19"/>
                <w:color w:val="155E75"/>
              </w:rPr>
              <w:t xml:space="preserve">^3.5.41</w:t>
            </w:r>
            <w:r>
              <w:rPr>
                <w:sz w:val="18"/>
              </w:rPr>
              <w:t xml:space="preserve">, TypeScript </w:t>
            </w:r>
            <w:r>
              <w:rPr>
                <w:sz w:val="18"/>
                <w:rFonts w:ascii="Consolas" w:hAnsi="Consolas"/>
                <w:sz w:val="19"/>
                <w:color w:val="155E75"/>
              </w:rPr>
              <w:t xml:space="preserve">~6.0.2</w:t>
            </w:r>
          </w:p>
        </w:tc>
        <w:tc>
          <w:tcPr>
            <w:tcW w:w="4420" w:type="dxa"/>
            <w:shd w:fill="FFFFFF"/>
            <w:vAlign w:val="top"/>
          </w:tcPr>
          <w:p>
            <w:pPr>
              <w:pStyle w:val="TableText"/>
            </w:pPr>
            <w:r>
              <w:rPr>
                <w:sz w:val="18"/>
              </w:rPr>
              <w:t xml:space="preserve">Reactive UI with typed models and Composition API.</w:t>
            </w:r>
          </w:p>
        </w:tc>
      </w:tr>
      <w:tr>
        <w:trPr>
          <w:cantSplit/>
        </w:trPr>
        <w:tc>
          <w:tcPr>
            <w:tcW w:w="2300" w:type="dxa"/>
            <w:shd w:fill="F0F5F9"/>
            <w:vAlign w:val="top"/>
          </w:tcPr>
          <w:p>
            <w:pPr>
              <w:pStyle w:val="TableText"/>
            </w:pPr>
            <w:r>
              <w:rPr>
                <w:sz w:val="18"/>
              </w:rPr>
              <w:t xml:space="preserve">Vite / Vue Router / Pinia</w:t>
            </w:r>
          </w:p>
        </w:tc>
        <w:tc>
          <w:tcPr>
            <w:tcW w:w="3050" w:type="dxa"/>
            <w:shd w:fill="F0F5F9"/>
            <w:vAlign w:val="top"/>
          </w:tcPr>
          <w:p>
            <w:pPr>
              <w:pStyle w:val="TableText"/>
            </w:pPr>
            <w:r>
              <w:rPr>
                <w:sz w:val="18"/>
              </w:rPr>
              <w:t xml:space="preserve">Vite </w:t>
            </w:r>
            <w:r>
              <w:rPr>
                <w:sz w:val="18"/>
                <w:rFonts w:ascii="Consolas" w:hAnsi="Consolas"/>
                <w:sz w:val="19"/>
                <w:color w:val="155E75"/>
              </w:rPr>
              <w:t xml:space="preserve">^8.2.2</w:t>
            </w:r>
            <w:r>
              <w:rPr>
                <w:sz w:val="18"/>
              </w:rPr>
              <w:t xml:space="preserve">, router </w:t>
            </w:r>
            <w:r>
              <w:rPr>
                <w:sz w:val="18"/>
                <w:rFonts w:ascii="Consolas" w:hAnsi="Consolas"/>
                <w:sz w:val="19"/>
                <w:color w:val="155E75"/>
              </w:rPr>
              <w:t xml:space="preserve">^5.3.0</w:t>
            </w:r>
            <w:r>
              <w:rPr>
                <w:sz w:val="18"/>
              </w:rPr>
              <w:t xml:space="preserve">, Pinia </w:t>
            </w:r>
            <w:r>
              <w:rPr>
                <w:sz w:val="18"/>
                <w:rFonts w:ascii="Consolas" w:hAnsi="Consolas"/>
                <w:sz w:val="19"/>
                <w:color w:val="155E75"/>
              </w:rPr>
              <w:t xml:space="preserve">^4.0.3</w:t>
            </w:r>
          </w:p>
        </w:tc>
        <w:tc>
          <w:tcPr>
            <w:tcW w:w="4420" w:type="dxa"/>
            <w:shd w:fill="F0F5F9"/>
            <w:vAlign w:val="top"/>
          </w:tcPr>
          <w:p>
            <w:pPr>
              <w:pStyle w:val="TableText"/>
            </w:pPr>
            <w:r>
              <w:rPr>
                <w:sz w:val="18"/>
              </w:rPr>
              <w:t xml:space="preserve">Build/dev server, navigation and shared frontend state.</w:t>
            </w:r>
          </w:p>
        </w:tc>
      </w:tr>
      <w:tr>
        <w:trPr>
          <w:cantSplit/>
        </w:trPr>
        <w:tc>
          <w:tcPr>
            <w:tcW w:w="2300" w:type="dxa"/>
            <w:shd w:fill="FFFFFF"/>
            <w:vAlign w:val="top"/>
          </w:tcPr>
          <w:p>
            <w:pPr>
              <w:pStyle w:val="TableText"/>
            </w:pPr>
            <w:r>
              <w:rPr>
                <w:sz w:val="18"/>
              </w:rPr>
              <w:t xml:space="preserve">Axios / Tailwind</w:t>
            </w:r>
          </w:p>
        </w:tc>
        <w:tc>
          <w:tcPr>
            <w:tcW w:w="3050" w:type="dxa"/>
            <w:shd w:fill="FFFFFF"/>
            <w:vAlign w:val="top"/>
          </w:tcPr>
          <w:p>
            <w:pPr>
              <w:pStyle w:val="TableText"/>
            </w:pPr>
            <w:r>
              <w:rPr>
                <w:sz w:val="18"/>
              </w:rPr>
              <w:t xml:space="preserve">Axios </w:t>
            </w:r>
            <w:r>
              <w:rPr>
                <w:sz w:val="18"/>
                <w:rFonts w:ascii="Consolas" w:hAnsi="Consolas"/>
                <w:sz w:val="19"/>
                <w:color w:val="155E75"/>
              </w:rPr>
              <w:t xml:space="preserve">^1.20.0</w:t>
            </w:r>
            <w:r>
              <w:rPr>
                <w:sz w:val="18"/>
              </w:rPr>
              <w:t xml:space="preserve">, Tailwind </w:t>
            </w:r>
            <w:r>
              <w:rPr>
                <w:sz w:val="18"/>
                <w:rFonts w:ascii="Consolas" w:hAnsi="Consolas"/>
                <w:sz w:val="19"/>
                <w:color w:val="155E75"/>
              </w:rPr>
              <w:t xml:space="preserve">^3.4.19</w:t>
            </w:r>
          </w:p>
        </w:tc>
        <w:tc>
          <w:tcPr>
            <w:tcW w:w="4420" w:type="dxa"/>
            <w:shd w:fill="FFFFFF"/>
            <w:vAlign w:val="top"/>
          </w:tcPr>
          <w:p>
            <w:pPr>
              <w:pStyle w:val="TableText"/>
            </w:pPr>
            <w:r>
              <w:rPr>
                <w:sz w:val="18"/>
              </w:rPr>
              <w:t xml:space="preserve">Shared HTTP client and utility-class styling.</w:t>
            </w:r>
          </w:p>
        </w:tc>
      </w:tr>
      <w:tr>
        <w:trPr>
          <w:cantSplit/>
        </w:trPr>
        <w:tc>
          <w:tcPr>
            <w:tcW w:w="2300" w:type="dxa"/>
            <w:shd w:fill="F0F5F9"/>
            <w:vAlign w:val="top"/>
          </w:tcPr>
          <w:p>
            <w:pPr>
              <w:pStyle w:val="TableText"/>
            </w:pPr>
            <w:r>
              <w:rPr>
                <w:sz w:val="18"/>
              </w:rPr>
              <w:t xml:space="preserve">Chart.js / Dompdf</w:t>
            </w:r>
          </w:p>
        </w:tc>
        <w:tc>
          <w:tcPr>
            <w:tcW w:w="3050" w:type="dxa"/>
            <w:shd w:fill="F0F5F9"/>
            <w:vAlign w:val="top"/>
          </w:tcPr>
          <w:p>
            <w:pPr>
              <w:pStyle w:val="TableText"/>
            </w:pPr>
            <w:r>
              <w:rPr>
                <w:sz w:val="18"/>
              </w:rPr>
              <w:t xml:space="preserve">Chart.js </w:t>
            </w:r>
            <w:r>
              <w:rPr>
                <w:sz w:val="18"/>
                <w:rFonts w:ascii="Consolas" w:hAnsi="Consolas"/>
                <w:sz w:val="19"/>
                <w:color w:val="155E75"/>
              </w:rPr>
              <w:t xml:space="preserve">^4.5.1</w:t>
            </w:r>
            <w:r>
              <w:rPr>
                <w:sz w:val="18"/>
              </w:rPr>
              <w:t xml:space="preserve">, Dompdf Laravel integration </w:t>
            </w:r>
            <w:r>
              <w:rPr>
                <w:sz w:val="18"/>
                <w:rFonts w:ascii="Consolas" w:hAnsi="Consolas"/>
                <w:sz w:val="19"/>
                <w:color w:val="155E75"/>
              </w:rPr>
              <w:t xml:space="preserve">^3.1</w:t>
            </w:r>
          </w:p>
        </w:tc>
        <w:tc>
          <w:tcPr>
            <w:tcW w:w="4420" w:type="dxa"/>
            <w:shd w:fill="F0F5F9"/>
            <w:vAlign w:val="top"/>
          </w:tcPr>
          <w:p>
            <w:pPr>
              <w:pStyle w:val="TableText"/>
            </w:pPr>
            <w:r>
              <w:rPr>
                <w:sz w:val="18"/>
              </w:rPr>
              <w:t xml:space="preserve">Dashboard charts and server-rendered PDF documents.</w:t>
            </w:r>
          </w:p>
        </w:tc>
      </w:tr>
      <w:tr>
        <w:trPr>
          <w:cantSplit/>
        </w:trPr>
        <w:tc>
          <w:tcPr>
            <w:tcW w:w="2300" w:type="dxa"/>
            <w:shd w:fill="FFFFFF"/>
            <w:vAlign w:val="top"/>
          </w:tcPr>
          <w:p>
            <w:pPr>
              <w:pStyle w:val="TableText"/>
            </w:pPr>
            <w:r>
              <w:rPr>
                <w:sz w:val="18"/>
              </w:rPr>
              <w:t xml:space="preserve">ZXing</w:t>
            </w:r>
          </w:p>
        </w:tc>
        <w:tc>
          <w:tcPr>
            <w:tcW w:w="3050" w:type="dxa"/>
            <w:shd w:fill="FFFFFF"/>
            <w:vAlign w:val="top"/>
          </w:tcPr>
          <w:p>
            <w:pPr>
              <w:pStyle w:val="TableText"/>
            </w:pPr>
            <w:r>
              <w:rPr>
                <w:sz w:val="18"/>
              </w:rPr>
              <w:t xml:space="preserve">Browser 0.1.5, library 0.21.3</w:t>
            </w:r>
          </w:p>
        </w:tc>
        <w:tc>
          <w:tcPr>
            <w:tcW w:w="4420" w:type="dxa"/>
            <w:shd w:fill="FFFFFF"/>
            <w:vAlign w:val="top"/>
          </w:tcPr>
          <w:p>
            <w:pPr>
              <w:pStyle w:val="TableText"/>
            </w:pPr>
            <w:r>
              <w:rPr>
                <w:sz w:val="18"/>
              </w:rPr>
              <w:t xml:space="preserve">Lazy-loaded camera barcode decoding and worker fallback.</w:t>
            </w:r>
          </w:p>
        </w:tc>
      </w:tr>
      <w:tr>
        <w:trPr>
          <w:cantSplit/>
        </w:trPr>
        <w:tc>
          <w:tcPr>
            <w:tcW w:w="2300" w:type="dxa"/>
            <w:shd w:fill="F0F5F9"/>
            <w:vAlign w:val="top"/>
          </w:tcPr>
          <w:p>
            <w:pPr>
              <w:pStyle w:val="TableText"/>
            </w:pPr>
            <w:r>
              <w:rPr>
                <w:sz w:val="18"/>
              </w:rPr>
              <w:t xml:space="preserve">MySQL / Redis</w:t>
            </w:r>
          </w:p>
        </w:tc>
        <w:tc>
          <w:tcPr>
            <w:tcW w:w="3050" w:type="dxa"/>
            <w:shd w:fill="F0F5F9"/>
            <w:vAlign w:val="top"/>
          </w:tcPr>
          <w:p>
            <w:pPr>
              <w:pStyle w:val="TableText"/>
            </w:pPr>
            <w:r>
              <w:rPr>
                <w:sz w:val="18"/>
              </w:rPr>
              <w:t xml:space="preserve">MySQL 8 image; Redis container</w:t>
            </w:r>
          </w:p>
        </w:tc>
        <w:tc>
          <w:tcPr>
            <w:tcW w:w="4420" w:type="dxa"/>
            <w:shd w:fill="F0F5F9"/>
            <w:vAlign w:val="top"/>
          </w:tcPr>
          <w:p>
            <w:pPr>
              <w:pStyle w:val="TableText"/>
            </w:pPr>
            <w:r>
              <w:rPr>
                <w:sz w:val="18"/>
              </w:rPr>
              <w:t xml:space="preserve">Persistent business data and configurable cache/session/queue storage.</w:t>
            </w:r>
          </w:p>
        </w:tc>
      </w:tr>
      <w:tr>
        <w:trPr>
          <w:cantSplit/>
        </w:trPr>
        <w:tc>
          <w:tcPr>
            <w:tcW w:w="2300" w:type="dxa"/>
            <w:shd w:fill="FFFFFF"/>
            <w:vAlign w:val="top"/>
          </w:tcPr>
          <w:p>
            <w:pPr>
              <w:pStyle w:val="TableText"/>
            </w:pPr>
            <w:r>
              <w:rPr>
                <w:sz w:val="18"/>
              </w:rPr>
              <w:t xml:space="preserve">Docker / Nginx / Caddy</w:t>
            </w:r>
          </w:p>
        </w:tc>
        <w:tc>
          <w:tcPr>
            <w:tcW w:w="3050" w:type="dxa"/>
            <w:shd w:fill="FFFFFF"/>
            <w:vAlign w:val="top"/>
          </w:tcPr>
          <w:p>
            <w:pPr>
              <w:pStyle w:val="TableText"/>
            </w:pPr>
            <w:r>
              <w:rPr>
                <w:sz w:val="18"/>
              </w:rPr>
              <w:t xml:space="preserve">Compose services and production configuration</w:t>
            </w:r>
          </w:p>
        </w:tc>
        <w:tc>
          <w:tcPr>
            <w:tcW w:w="4420" w:type="dxa"/>
            <w:shd w:fill="FFFFFF"/>
            <w:vAlign w:val="top"/>
          </w:tcPr>
          <w:p>
            <w:pPr>
              <w:pStyle w:val="TableText"/>
            </w:pPr>
            <w:r>
              <w:rPr>
                <w:sz w:val="18"/>
              </w:rPr>
              <w:t xml:space="preserve">Reproducible execution, HTTP routing and production HTTPS.</w:t>
            </w:r>
          </w:p>
        </w:tc>
      </w:tr>
      <w:tr>
        <w:trPr>
          <w:cantSplit/>
        </w:trPr>
        <w:tc>
          <w:tcPr>
            <w:tcW w:w="2300" w:type="dxa"/>
            <w:shd w:fill="F0F5F9"/>
            <w:vAlign w:val="top"/>
          </w:tcPr>
          <w:p>
            <w:pPr>
              <w:pStyle w:val="TableText"/>
            </w:pPr>
            <w:r>
              <w:rPr>
                <w:sz w:val="18"/>
              </w:rPr>
              <w:t xml:space="preserve">PHPUnit / Playwright</w:t>
            </w:r>
          </w:p>
        </w:tc>
        <w:tc>
          <w:tcPr>
            <w:tcW w:w="3050" w:type="dxa"/>
            <w:shd w:fill="F0F5F9"/>
            <w:vAlign w:val="top"/>
          </w:tcPr>
          <w:p>
            <w:pPr>
              <w:pStyle w:val="TableText"/>
            </w:pPr>
            <w:r>
              <w:rPr>
                <w:sz w:val="18"/>
              </w:rPr>
              <w:t xml:space="preserve">PHPUnit </w:t>
            </w:r>
            <w:r>
              <w:rPr>
                <w:sz w:val="18"/>
                <w:rFonts w:ascii="Consolas" w:hAnsi="Consolas"/>
                <w:sz w:val="19"/>
                <w:color w:val="155E75"/>
              </w:rPr>
              <w:t xml:space="preserve">^12.5.12</w:t>
            </w:r>
            <w:r>
              <w:rPr>
                <w:sz w:val="18"/>
              </w:rPr>
              <w:t xml:space="preserve">, Playwright </w:t>
            </w:r>
            <w:r>
              <w:rPr>
                <w:sz w:val="18"/>
                <w:rFonts w:ascii="Consolas" w:hAnsi="Consolas"/>
                <w:sz w:val="19"/>
                <w:color w:val="155E75"/>
              </w:rPr>
              <w:t xml:space="preserve">^1.64.1</w:t>
            </w:r>
          </w:p>
        </w:tc>
        <w:tc>
          <w:tcPr>
            <w:tcW w:w="4420" w:type="dxa"/>
            <w:shd w:fill="F0F5F9"/>
            <w:vAlign w:val="top"/>
          </w:tcPr>
          <w:p>
            <w:pPr>
              <w:pStyle w:val="TableText"/>
            </w:pPr>
            <w:r>
              <w:rPr>
                <w:sz w:val="18"/>
              </w:rPr>
              <w:t xml:space="preserve">Backend regressions and desktop/mobile Chromium UI checks.</w:t>
            </w:r>
          </w:p>
        </w:tc>
      </w:tr>
    </w:tbl>
    <w:p>
      <w:pPr>
        <w:pStyle w:val="Normal"/>
        <w:spacing w:after="60"/>
      </w:pPr>
    </w:p>
    <w:p>
      <w:pPr>
        <w:pStyle w:val="Normal"/>
      </w:pPr>
      <w:r>
        <w:rPr/>
        <w:t xml:space="preserve">Local </w:t>
      </w:r>
      <w:r>
        <w:rPr>
          <w:rFonts w:ascii="Consolas" w:hAnsi="Consolas"/>
          <w:sz w:val="19"/>
          <w:color w:val="155E75"/>
        </w:rPr>
        <w:t xml:space="preserve">.env.example</w:t>
      </w:r>
      <w:r>
        <w:rPr/>
        <w:t xml:space="preserve"> defaults may use database-backed cache, sessions and queues. Production Compose explicitly selects Redis. The presence of a Redis container does not mean every development subsystem automatically uses it.</w:t>
      </w:r>
    </w:p>
    <w:p>
      <w:pPr>
        <w:pStyle w:val="Heading1"/>
      </w:pPr>
      <w:bookmarkStart w:id="4" w:name="chapter_4"/>
      <w:r>
        <w:rPr/>
        <w:t xml:space="preserve">4. Architecture and repository walkthrough</w:t>
      </w:r>
      <w:bookmarkEnd w:id="4"/>
    </w:p>
    <w:p>
      <w:pPr>
        <w:pStyle w:val="Heading2"/>
      </w:pPr>
      <w:r>
        <w:rPr/>
        <w:t xml:space="preserve">Request flow</w:t>
      </w:r>
    </w:p>
    <w:p>
      <w:pPr>
        <w:pStyle w:val="CodeBlock"/>
        <w:keepNext/>
      </w:pPr>
      <w:r>
        <w:rPr>
          <w:rFonts w:ascii="Consolas" w:hAnsi="Consolas"/>
        </w:rPr>
        <w:t xml:space="preserve">Customer / seller / administrator browser</w:t>
      </w:r>
    </w:p>
    <w:p>
      <w:pPr>
        <w:pStyle w:val="CodeBlock"/>
        <w:keepNext/>
      </w:pPr>
      <w:r>
        <w:rPr>
          <w:rFonts w:ascii="Consolas" w:hAnsi="Consolas"/>
        </w:rPr>
        <w:t xml:space="preserve">                  |</w:t>
      </w:r>
    </w:p>
    <w:p>
      <w:pPr>
        <w:pStyle w:val="CodeBlock"/>
        <w:keepNext/>
      </w:pPr>
      <w:r>
        <w:rPr>
          <w:rFonts w:ascii="Consolas" w:hAnsi="Consolas"/>
        </w:rPr>
        <w:t xml:space="preserve">            Vue 3 application</w:t>
      </w:r>
    </w:p>
    <w:p>
      <w:pPr>
        <w:pStyle w:val="CodeBlock"/>
        <w:keepNext/>
      </w:pPr>
      <w:r>
        <w:rPr>
          <w:rFonts w:ascii="Consolas" w:hAnsi="Consolas"/>
        </w:rPr>
        <w:t xml:space="preserve">       Router + Pinia + Axios client</w:t>
      </w:r>
    </w:p>
    <w:p>
      <w:pPr>
        <w:pStyle w:val="CodeBlock"/>
        <w:keepNext/>
      </w:pPr>
      <w:r>
        <w:rPr>
          <w:rFonts w:ascii="Consolas" w:hAnsi="Consolas"/>
        </w:rPr>
        <w:t xml:space="preserve">                  | JSON /api requests</w:t>
      </w:r>
    </w:p>
    <w:p>
      <w:pPr>
        <w:pStyle w:val="CodeBlock"/>
        <w:keepNext/>
      </w:pPr>
      <w:r>
        <w:rPr>
          <w:rFonts w:ascii="Consolas" w:hAnsi="Consolas"/>
        </w:rPr>
        <w:t xml:space="preserve">           Vite proxy locally</w:t>
      </w:r>
    </w:p>
    <w:p>
      <w:pPr>
        <w:pStyle w:val="CodeBlock"/>
        <w:keepNext/>
      </w:pPr>
      <w:r>
        <w:rPr>
          <w:rFonts w:ascii="Consolas" w:hAnsi="Consolas"/>
        </w:rPr>
        <w:t xml:space="preserve">                  |</w:t>
      </w:r>
    </w:p>
    <w:p>
      <w:pPr>
        <w:pStyle w:val="CodeBlock"/>
        <w:keepNext/>
      </w:pPr>
      <w:r>
        <w:rPr>
          <w:rFonts w:ascii="Consolas" w:hAnsi="Consolas"/>
        </w:rPr>
        <w:t xml:space="preserve">             Nginx -&gt; PHP-FPM</w:t>
      </w:r>
    </w:p>
    <w:p>
      <w:pPr>
        <w:pStyle w:val="CodeBlock"/>
        <w:keepNext/>
      </w:pPr>
      <w:r>
        <w:rPr>
          <w:rFonts w:ascii="Consolas" w:hAnsi="Consolas"/>
        </w:rPr>
        <w:t xml:space="preserve">                  |</w:t>
      </w:r>
    </w:p>
    <w:p>
      <w:pPr>
        <w:pStyle w:val="CodeBlock"/>
        <w:keepNext/>
      </w:pPr>
      <w:r>
        <w:rPr>
          <w:rFonts w:ascii="Consolas" w:hAnsi="Consolas"/>
        </w:rPr>
        <w:t xml:space="preserve">    Routes -&gt; Middleware -&gt; Form Request</w:t>
      </w:r>
    </w:p>
    <w:p>
      <w:pPr>
        <w:pStyle w:val="CodeBlock"/>
        <w:keepNext/>
      </w:pPr>
      <w:r>
        <w:rPr>
          <w:rFonts w:ascii="Consolas" w:hAnsi="Consolas"/>
        </w:rPr>
        <w:t xml:space="preserve">                  |</w:t>
      </w:r>
    </w:p>
    <w:p>
      <w:pPr>
        <w:pStyle w:val="CodeBlock"/>
        <w:keepNext/>
      </w:pPr>
      <w:r>
        <w:rPr>
          <w:rFonts w:ascii="Consolas" w:hAnsi="Consolas"/>
        </w:rPr>
        <w:t xml:space="preserve">       Controller -&gt; Domain service</w:t>
      </w:r>
    </w:p>
    <w:p>
      <w:pPr>
        <w:pStyle w:val="CodeBlock"/>
        <w:keepNext/>
      </w:pPr>
      <w:r>
        <w:rPr>
          <w:rFonts w:ascii="Consolas" w:hAnsi="Consolas"/>
        </w:rPr>
        <w:t xml:space="preserve">                  |</w:t>
      </w:r>
    </w:p>
    <w:p>
      <w:pPr>
        <w:pStyle w:val="CodeBlock"/>
        <w:keepNext/>
      </w:pPr>
      <w:r>
        <w:rPr>
          <w:rFonts w:ascii="Consolas" w:hAnsi="Consolas"/>
        </w:rPr>
        <w:t xml:space="preserve">         Eloquent -&gt; MySQL</w:t>
      </w:r>
    </w:p>
    <w:p>
      <w:pPr>
        <w:pStyle w:val="CodeBlock"/>
        <w:keepNext/>
      </w:pPr>
      <w:r>
        <w:rPr>
          <w:rFonts w:ascii="Consolas" w:hAnsi="Consolas"/>
        </w:rPr>
        <w:t xml:space="preserve">                  |</w:t>
      </w:r>
    </w:p>
    <w:p>
      <w:pPr>
        <w:pStyle w:val="CodeBlock"/>
        <w:keepNext/>
      </w:pPr>
      <w:r>
        <w:rPr>
          <w:rFonts w:ascii="Consolas" w:hAnsi="Consolas"/>
        </w:rPr>
        <w:t xml:space="preserve">      API Resource -&gt; JSON -&gt; Vue</w:t>
      </w:r>
    </w:p>
    <w:p>
      <w:pPr>
        <w:pStyle w:val="CodeBlock"/>
        <w:keepNext/>
      </w:pPr>
      <w:r>
        <w:rPr>
          <w:rFonts w:ascii="Consolas" w:hAnsi="Consolas"/>
        </w:rPr>
        <w:t xml:space="preserve"/>
      </w:r>
    </w:p>
    <w:p>
      <w:pPr>
        <w:pStyle w:val="CodeBlock"/>
        <w:keepNext/>
      </w:pPr>
      <w:r>
        <w:rPr>
          <w:rFonts w:ascii="Consolas" w:hAnsi="Consolas"/>
        </w:rPr>
        <w:t xml:space="preserve">Scheduler -&gt; expire reservations / reconcile payments</w:t>
      </w:r>
    </w:p>
    <w:p>
      <w:pPr>
        <w:pStyle w:val="CodeBlock"/>
        <w:keepNext/>
      </w:pPr>
      <w:r>
        <w:rPr>
          <w:rFonts w:ascii="Consolas" w:hAnsi="Consolas"/>
        </w:rPr>
        <w:t xml:space="preserve">Worker    -&gt; configured queued jobs and notifications</w:t>
      </w:r>
    </w:p>
    <w:p>
      <w:pPr>
        <w:pStyle w:val="CodeBlock"/>
      </w:pPr>
      <w:r>
        <w:rPr>
          <w:rFonts w:ascii="Consolas" w:hAnsi="Consolas"/>
        </w:rPr>
        <w:t xml:space="preserve">Laravel   -&gt; Bakong API / mail transport when configured</w:t>
      </w:r>
    </w:p>
    <w:p>
      <w:pPr>
        <w:pStyle w:val="Normal"/>
        <w:spacing w:after="50"/>
      </w:pPr>
    </w:p>
    <w:p>
      <w:pPr>
        <w:pStyle w:val="Normal"/>
      </w:pPr>
      <w:r>
        <w:rPr/>
        <w:t xml:space="preserve">In production, Caddy terminates HTTPS and forwards traffic to the web image. The frontend build and API share an origin. Locally, Vite exposes port 5174 on the host and proxies </w:t>
      </w:r>
      <w:r>
        <w:rPr>
          <w:rFonts w:ascii="Consolas" w:hAnsi="Consolas"/>
          <w:sz w:val="19"/>
          <w:color w:val="155E75"/>
        </w:rPr>
        <w:t xml:space="preserve">/api</w:t>
      </w:r>
      <w:r>
        <w:rPr/>
        <w:t xml:space="preserve"> to Nginx. PHP-FPM is an internal service, not the browser's HTTP endpoint.</w:t>
      </w:r>
    </w:p>
    <w:p>
      <w:pPr>
        <w:pStyle w:val="Heading2"/>
      </w:pPr>
      <w:r>
        <w:rPr/>
        <w:t xml:space="preserve">Code map</w:t>
      </w:r>
    </w:p>
    <w:tbl>
      <w:tblPr>
        <w:tblW w:w="9770" w:type="dxa"/>
        <w:tblLayout w:type="fixed"/>
        <w:tblCellMar>
          <w:top w:w="90" w:type="dxa"/>
          <w:left w:w="105" w:type="dxa"/>
          <w:bottom w:w="90" w:type="dxa"/>
          <w:right w:w="105" w:type="dxa"/>
        </w:tblCellMar>
        <w:tblBorders>
          <w:insideH w:val="single" w:sz="4" w:color="DCE5ED"/>
        </w:tblBorders>
      </w:tblPr>
      <w:tblGrid>
        <w:gridCol w:w="3100"/>
        <w:gridCol w:w="6670"/>
      </w:tblGrid>
      <w:tr>
        <w:trPr>
          <w:cantSplit/>
          <w:tblHeader/>
        </w:trPr>
        <w:tc>
          <w:tcPr>
            <w:tcW w:w="3100" w:type="dxa"/>
            <w:shd w:fill="16324F"/>
            <w:vAlign w:val="top"/>
          </w:tcPr>
          <w:p>
            <w:pPr>
              <w:pStyle w:val="TableText"/>
            </w:pPr>
            <w:r>
              <w:rPr>
                <w:sz w:val="18"/>
                <w:b/>
                <w:color w:val="FFFFFF"/>
              </w:rPr>
              <w:t xml:space="preserve">Location</w:t>
            </w:r>
          </w:p>
        </w:tc>
        <w:tc>
          <w:tcPr>
            <w:tcW w:w="6670" w:type="dxa"/>
            <w:shd w:fill="16324F"/>
            <w:vAlign w:val="top"/>
          </w:tcPr>
          <w:p>
            <w:pPr>
              <w:pStyle w:val="TableText"/>
            </w:pPr>
            <w:r>
              <w:rPr>
                <w:sz w:val="18"/>
                <w:b/>
                <w:color w:val="FFFFFF"/>
              </w:rPr>
              <w:t xml:space="preserve">What belongs here</w:t>
            </w:r>
          </w:p>
        </w:tc>
      </w:tr>
      <w:tr>
        <w:trPr>
          <w:cantSplit/>
        </w:trPr>
        <w:tc>
          <w:tcPr>
            <w:tcW w:w="3100" w:type="dxa"/>
            <w:shd w:fill="F0F5F9"/>
            <w:vAlign w:val="top"/>
          </w:tcPr>
          <w:p>
            <w:pPr>
              <w:pStyle w:val="TableText"/>
            </w:pPr>
            <w:r>
              <w:rPr>
                <w:sz w:val="18"/>
                <w:rFonts w:ascii="Consolas" w:hAnsi="Consolas"/>
                <w:sz w:val="19"/>
                <w:color w:val="155E75"/>
              </w:rPr>
              <w:t xml:space="preserve">backend/routes/api.php</w:t>
            </w:r>
          </w:p>
        </w:tc>
        <w:tc>
          <w:tcPr>
            <w:tcW w:w="6670" w:type="dxa"/>
            <w:shd w:fill="F0F5F9"/>
            <w:vAlign w:val="top"/>
          </w:tcPr>
          <w:p>
            <w:pPr>
              <w:pStyle w:val="TableText"/>
            </w:pPr>
            <w:r>
              <w:rPr>
                <w:sz w:val="18"/>
              </w:rPr>
              <w:t xml:space="preserve">API endpoints, authentication groups and throttles.</w:t>
            </w:r>
          </w:p>
        </w:tc>
      </w:tr>
      <w:tr>
        <w:trPr>
          <w:cantSplit/>
        </w:trPr>
        <w:tc>
          <w:tcPr>
            <w:tcW w:w="3100" w:type="dxa"/>
            <w:shd w:fill="FFFFFF"/>
            <w:vAlign w:val="top"/>
          </w:tcPr>
          <w:p>
            <w:pPr>
              <w:pStyle w:val="TableText"/>
            </w:pPr>
            <w:r>
              <w:rPr>
                <w:sz w:val="18"/>
                <w:rFonts w:ascii="Consolas" w:hAnsi="Consolas"/>
                <w:sz w:val="19"/>
                <w:color w:val="155E75"/>
              </w:rPr>
              <w:t xml:space="preserve">backend/app/Http/Controllers/Api</w:t>
            </w:r>
          </w:p>
        </w:tc>
        <w:tc>
          <w:tcPr>
            <w:tcW w:w="6670" w:type="dxa"/>
            <w:shd w:fill="FFFFFF"/>
            <w:vAlign w:val="top"/>
          </w:tcPr>
          <w:p>
            <w:pPr>
              <w:pStyle w:val="TableText"/>
            </w:pPr>
            <w:r>
              <w:rPr>
                <w:sz w:val="18"/>
              </w:rPr>
              <w:t xml:space="preserve">HTTP handling; seller/admin adapters live in subdirectories.</w:t>
            </w:r>
          </w:p>
        </w:tc>
      </w:tr>
      <w:tr>
        <w:trPr>
          <w:cantSplit/>
        </w:trPr>
        <w:tc>
          <w:tcPr>
            <w:tcW w:w="3100" w:type="dxa"/>
            <w:shd w:fill="F0F5F9"/>
            <w:vAlign w:val="top"/>
          </w:tcPr>
          <w:p>
            <w:pPr>
              <w:pStyle w:val="TableText"/>
            </w:pPr>
            <w:r>
              <w:rPr>
                <w:sz w:val="18"/>
                <w:rFonts w:ascii="Consolas" w:hAnsi="Consolas"/>
                <w:sz w:val="19"/>
                <w:color w:val="155E75"/>
              </w:rPr>
              <w:t xml:space="preserve">backend/app/Http/Requests</w:t>
            </w:r>
          </w:p>
        </w:tc>
        <w:tc>
          <w:tcPr>
            <w:tcW w:w="6670" w:type="dxa"/>
            <w:shd w:fill="F0F5F9"/>
            <w:vAlign w:val="top"/>
          </w:tcPr>
          <w:p>
            <w:pPr>
              <w:pStyle w:val="TableText"/>
            </w:pPr>
            <w:r>
              <w:rPr>
                <w:sz w:val="18"/>
              </w:rPr>
              <w:t xml:space="preserve">Input validation and request preparation.</w:t>
            </w:r>
          </w:p>
        </w:tc>
      </w:tr>
      <w:tr>
        <w:trPr>
          <w:cantSplit/>
        </w:trPr>
        <w:tc>
          <w:tcPr>
            <w:tcW w:w="3100" w:type="dxa"/>
            <w:shd w:fill="FFFFFF"/>
            <w:vAlign w:val="top"/>
          </w:tcPr>
          <w:p>
            <w:pPr>
              <w:pStyle w:val="TableText"/>
            </w:pPr>
            <w:r>
              <w:rPr>
                <w:sz w:val="18"/>
                <w:rFonts w:ascii="Consolas" w:hAnsi="Consolas"/>
                <w:sz w:val="19"/>
                <w:color w:val="155E75"/>
              </w:rPr>
              <w:t xml:space="preserve">backend/app/Services</w:t>
            </w:r>
          </w:p>
        </w:tc>
        <w:tc>
          <w:tcPr>
            <w:tcW w:w="6670" w:type="dxa"/>
            <w:shd w:fill="FFFFFF"/>
            <w:vAlign w:val="top"/>
          </w:tcPr>
          <w:p>
            <w:pPr>
              <w:pStyle w:val="TableText"/>
            </w:pPr>
            <w:r>
              <w:rPr>
                <w:sz w:val="18"/>
              </w:rPr>
              <w:t xml:space="preserve">Checkout, inventory, payment, refund and other domain rules.</w:t>
            </w:r>
          </w:p>
        </w:tc>
      </w:tr>
      <w:tr>
        <w:trPr>
          <w:cantSplit/>
        </w:trPr>
        <w:tc>
          <w:tcPr>
            <w:tcW w:w="3100" w:type="dxa"/>
            <w:shd w:fill="F0F5F9"/>
            <w:vAlign w:val="top"/>
          </w:tcPr>
          <w:p>
            <w:pPr>
              <w:pStyle w:val="TableText"/>
            </w:pPr>
            <w:r>
              <w:rPr>
                <w:sz w:val="18"/>
                <w:rFonts w:ascii="Consolas" w:hAnsi="Consolas"/>
                <w:sz w:val="19"/>
                <w:color w:val="155E75"/>
              </w:rPr>
              <w:t xml:space="preserve">backend/app/Models</w:t>
            </w:r>
            <w:r>
              <w:rPr>
                <w:sz w:val="18"/>
              </w:rPr>
              <w:t xml:space="preserve">, </w:t>
            </w:r>
            <w:r>
              <w:rPr>
                <w:sz w:val="18"/>
                <w:rFonts w:ascii="Consolas" w:hAnsi="Consolas"/>
                <w:sz w:val="19"/>
                <w:color w:val="155E75"/>
              </w:rPr>
              <w:t xml:space="preserve">Policies</w:t>
            </w:r>
          </w:p>
        </w:tc>
        <w:tc>
          <w:tcPr>
            <w:tcW w:w="6670" w:type="dxa"/>
            <w:shd w:fill="F0F5F9"/>
            <w:vAlign w:val="top"/>
          </w:tcPr>
          <w:p>
            <w:pPr>
              <w:pStyle w:val="TableText"/>
            </w:pPr>
            <w:r>
              <w:rPr>
                <w:sz w:val="18"/>
              </w:rPr>
              <w:t xml:space="preserve">Relationships, casts, scopes and authorization decisions.</w:t>
            </w:r>
          </w:p>
        </w:tc>
      </w:tr>
      <w:tr>
        <w:trPr>
          <w:cantSplit/>
        </w:trPr>
        <w:tc>
          <w:tcPr>
            <w:tcW w:w="3100" w:type="dxa"/>
            <w:shd w:fill="FFFFFF"/>
            <w:vAlign w:val="top"/>
          </w:tcPr>
          <w:p>
            <w:pPr>
              <w:pStyle w:val="TableText"/>
            </w:pPr>
            <w:r>
              <w:rPr>
                <w:sz w:val="18"/>
                <w:rFonts w:ascii="Consolas" w:hAnsi="Consolas"/>
                <w:sz w:val="19"/>
                <w:color w:val="155E75"/>
              </w:rPr>
              <w:t xml:space="preserve">backend/app/Http/Resources</w:t>
            </w:r>
          </w:p>
        </w:tc>
        <w:tc>
          <w:tcPr>
            <w:tcW w:w="6670" w:type="dxa"/>
            <w:shd w:fill="FFFFFF"/>
            <w:vAlign w:val="top"/>
          </w:tcPr>
          <w:p>
            <w:pPr>
              <w:pStyle w:val="TableText"/>
            </w:pPr>
            <w:r>
              <w:rPr>
                <w:sz w:val="18"/>
              </w:rPr>
              <w:t xml:space="preserve">Public JSON contracts and exclusion of private fields.</w:t>
            </w:r>
          </w:p>
        </w:tc>
      </w:tr>
      <w:tr>
        <w:trPr>
          <w:cantSplit/>
        </w:trPr>
        <w:tc>
          <w:tcPr>
            <w:tcW w:w="3100" w:type="dxa"/>
            <w:shd w:fill="F0F5F9"/>
            <w:vAlign w:val="top"/>
          </w:tcPr>
          <w:p>
            <w:pPr>
              <w:pStyle w:val="TableText"/>
            </w:pPr>
            <w:r>
              <w:rPr>
                <w:sz w:val="18"/>
                <w:rFonts w:ascii="Consolas" w:hAnsi="Consolas"/>
                <w:sz w:val="19"/>
                <w:color w:val="155E75"/>
              </w:rPr>
              <w:t xml:space="preserve">backend/database/migrations</w:t>
            </w:r>
            <w:r>
              <w:rPr>
                <w:sz w:val="18"/>
              </w:rPr>
              <w:t xml:space="preserve">, </w:t>
            </w:r>
            <w:r>
              <w:rPr>
                <w:sz w:val="18"/>
                <w:rFonts w:ascii="Consolas" w:hAnsi="Consolas"/>
                <w:sz w:val="19"/>
                <w:color w:val="155E75"/>
              </w:rPr>
              <w:t xml:space="preserve">seeders</w:t>
            </w:r>
            <w:r>
              <w:rPr>
                <w:sz w:val="18"/>
              </w:rPr>
              <w:t xml:space="preserve">, </w:t>
            </w:r>
            <w:r>
              <w:rPr>
                <w:sz w:val="18"/>
                <w:rFonts w:ascii="Consolas" w:hAnsi="Consolas"/>
                <w:sz w:val="19"/>
                <w:color w:val="155E75"/>
              </w:rPr>
              <w:t xml:space="preserve">factories</w:t>
            </w:r>
          </w:p>
        </w:tc>
        <w:tc>
          <w:tcPr>
            <w:tcW w:w="6670" w:type="dxa"/>
            <w:shd w:fill="F0F5F9"/>
            <w:vAlign w:val="top"/>
          </w:tcPr>
          <w:p>
            <w:pPr>
              <w:pStyle w:val="TableText"/>
            </w:pPr>
            <w:r>
              <w:rPr>
                <w:sz w:val="18"/>
              </w:rPr>
              <w:t xml:space="preserve">Schema history, demo data and test records.</w:t>
            </w:r>
          </w:p>
        </w:tc>
      </w:tr>
      <w:tr>
        <w:trPr>
          <w:cantSplit/>
        </w:trPr>
        <w:tc>
          <w:tcPr>
            <w:tcW w:w="3100" w:type="dxa"/>
            <w:shd w:fill="FFFFFF"/>
            <w:vAlign w:val="top"/>
          </w:tcPr>
          <w:p>
            <w:pPr>
              <w:pStyle w:val="TableText"/>
            </w:pPr>
            <w:r>
              <w:rPr>
                <w:sz w:val="18"/>
                <w:rFonts w:ascii="Consolas" w:hAnsi="Consolas"/>
                <w:sz w:val="19"/>
                <w:color w:val="155E75"/>
              </w:rPr>
              <w:t xml:space="preserve">backend/routes/console.php</w:t>
            </w:r>
          </w:p>
        </w:tc>
        <w:tc>
          <w:tcPr>
            <w:tcW w:w="6670" w:type="dxa"/>
            <w:shd w:fill="FFFFFF"/>
            <w:vAlign w:val="top"/>
          </w:tcPr>
          <w:p>
            <w:pPr>
              <w:pStyle w:val="TableText"/>
            </w:pPr>
            <w:r>
              <w:rPr>
                <w:sz w:val="18"/>
              </w:rPr>
              <w:t xml:space="preserve">Scheduled reservation/payment work and operational commands.</w:t>
            </w:r>
          </w:p>
        </w:tc>
      </w:tr>
      <w:tr>
        <w:trPr>
          <w:cantSplit/>
        </w:trPr>
        <w:tc>
          <w:tcPr>
            <w:tcW w:w="3100" w:type="dxa"/>
            <w:shd w:fill="F0F5F9"/>
            <w:vAlign w:val="top"/>
          </w:tcPr>
          <w:p>
            <w:pPr>
              <w:pStyle w:val="TableText"/>
            </w:pPr>
            <w:r>
              <w:rPr>
                <w:sz w:val="18"/>
                <w:rFonts w:ascii="Consolas" w:hAnsi="Consolas"/>
                <w:sz w:val="19"/>
                <w:color w:val="155E75"/>
              </w:rPr>
              <w:t xml:space="preserve">frontend/src/views</w:t>
            </w:r>
            <w:r>
              <w:rPr>
                <w:sz w:val="18"/>
              </w:rPr>
              <w:t xml:space="preserve">, </w:t>
            </w:r>
            <w:r>
              <w:rPr>
                <w:sz w:val="18"/>
                <w:rFonts w:ascii="Consolas" w:hAnsi="Consolas"/>
                <w:sz w:val="19"/>
                <w:color w:val="155E75"/>
              </w:rPr>
              <w:t xml:space="preserve">layouts</w:t>
            </w:r>
            <w:r>
              <w:rPr>
                <w:sz w:val="18"/>
              </w:rPr>
              <w:t xml:space="preserve">, </w:t>
            </w:r>
            <w:r>
              <w:rPr>
                <w:sz w:val="18"/>
                <w:rFonts w:ascii="Consolas" w:hAnsi="Consolas"/>
                <w:sz w:val="19"/>
                <w:color w:val="155E75"/>
              </w:rPr>
              <w:t xml:space="preserve">components</w:t>
            </w:r>
          </w:p>
        </w:tc>
        <w:tc>
          <w:tcPr>
            <w:tcW w:w="6670" w:type="dxa"/>
            <w:shd w:fill="F0F5F9"/>
            <w:vAlign w:val="top"/>
          </w:tcPr>
          <w:p>
            <w:pPr>
              <w:pStyle w:val="TableText"/>
            </w:pPr>
            <w:r>
              <w:rPr>
                <w:sz w:val="18"/>
              </w:rPr>
              <w:t xml:space="preserve">Screens, page shells and reusable UI.</w:t>
            </w:r>
          </w:p>
        </w:tc>
      </w:tr>
      <w:tr>
        <w:trPr>
          <w:cantSplit/>
        </w:trPr>
        <w:tc>
          <w:tcPr>
            <w:tcW w:w="3100" w:type="dxa"/>
            <w:shd w:fill="FFFFFF"/>
            <w:vAlign w:val="top"/>
          </w:tcPr>
          <w:p>
            <w:pPr>
              <w:pStyle w:val="TableText"/>
            </w:pPr>
            <w:r>
              <w:rPr>
                <w:sz w:val="18"/>
                <w:rFonts w:ascii="Consolas" w:hAnsi="Consolas"/>
                <w:sz w:val="19"/>
                <w:color w:val="155E75"/>
              </w:rPr>
              <w:t xml:space="preserve">frontend/src/api</w:t>
            </w:r>
            <w:r>
              <w:rPr>
                <w:sz w:val="18"/>
              </w:rPr>
              <w:t xml:space="preserve">, </w:t>
            </w:r>
            <w:r>
              <w:rPr>
                <w:sz w:val="18"/>
                <w:rFonts w:ascii="Consolas" w:hAnsi="Consolas"/>
                <w:sz w:val="19"/>
                <w:color w:val="155E75"/>
              </w:rPr>
              <w:t xml:space="preserve">types</w:t>
            </w:r>
          </w:p>
        </w:tc>
        <w:tc>
          <w:tcPr>
            <w:tcW w:w="6670" w:type="dxa"/>
            <w:shd w:fill="FFFFFF"/>
            <w:vAlign w:val="top"/>
          </w:tcPr>
          <w:p>
            <w:pPr>
              <w:pStyle w:val="TableText"/>
            </w:pPr>
            <w:r>
              <w:rPr>
                <w:sz w:val="18"/>
              </w:rPr>
              <w:t xml:space="preserve">Typed HTTP wrappers and shared data contracts.</w:t>
            </w:r>
          </w:p>
        </w:tc>
      </w:tr>
      <w:tr>
        <w:trPr>
          <w:cantSplit/>
        </w:trPr>
        <w:tc>
          <w:tcPr>
            <w:tcW w:w="3100" w:type="dxa"/>
            <w:shd w:fill="F0F5F9"/>
            <w:vAlign w:val="top"/>
          </w:tcPr>
          <w:p>
            <w:pPr>
              <w:pStyle w:val="TableText"/>
            </w:pPr>
            <w:r>
              <w:rPr>
                <w:sz w:val="18"/>
                <w:rFonts w:ascii="Consolas" w:hAnsi="Consolas"/>
                <w:sz w:val="19"/>
                <w:color w:val="155E75"/>
              </w:rPr>
              <w:t xml:space="preserve">frontend/src/stores</w:t>
            </w:r>
          </w:p>
        </w:tc>
        <w:tc>
          <w:tcPr>
            <w:tcW w:w="6670" w:type="dxa"/>
            <w:shd w:fill="F0F5F9"/>
            <w:vAlign w:val="top"/>
          </w:tcPr>
          <w:p>
            <w:pPr>
              <w:pStyle w:val="TableText"/>
            </w:pPr>
            <w:r>
              <w:rPr>
                <w:sz w:val="18"/>
              </w:rPr>
              <w:t xml:space="preserve">Auth, cart, wishlist, locale, theme, UI and seller workspace state.</w:t>
            </w:r>
          </w:p>
        </w:tc>
      </w:tr>
      <w:tr>
        <w:trPr>
          <w:cantSplit/>
        </w:trPr>
        <w:tc>
          <w:tcPr>
            <w:tcW w:w="3100" w:type="dxa"/>
            <w:shd w:fill="FFFFFF"/>
            <w:vAlign w:val="top"/>
          </w:tcPr>
          <w:p>
            <w:pPr>
              <w:pStyle w:val="TableText"/>
            </w:pPr>
            <w:r>
              <w:rPr>
                <w:sz w:val="18"/>
                <w:rFonts w:ascii="Consolas" w:hAnsi="Consolas"/>
                <w:sz w:val="19"/>
                <w:color w:val="155E75"/>
              </w:rPr>
              <w:t xml:space="preserve">frontend/src/workers</w:t>
            </w:r>
            <w:r>
              <w:rPr>
                <w:sz w:val="18"/>
              </w:rPr>
              <w:t xml:space="preserve">, </w:t>
            </w:r>
            <w:r>
              <w:rPr>
                <w:sz w:val="18"/>
                <w:rFonts w:ascii="Consolas" w:hAnsi="Consolas"/>
                <w:sz w:val="19"/>
                <w:color w:val="155E75"/>
              </w:rPr>
              <w:t xml:space="preserve">utils</w:t>
            </w:r>
          </w:p>
        </w:tc>
        <w:tc>
          <w:tcPr>
            <w:tcW w:w="6670" w:type="dxa"/>
            <w:shd w:fill="FFFFFF"/>
            <w:vAlign w:val="top"/>
          </w:tcPr>
          <w:p>
            <w:pPr>
              <w:pStyle w:val="TableText"/>
            </w:pPr>
            <w:r>
              <w:rPr>
                <w:sz w:val="18"/>
              </w:rPr>
              <w:t xml:space="preserve">Barcode worker and reusable client logic.</w:t>
            </w:r>
          </w:p>
        </w:tc>
      </w:tr>
      <w:tr>
        <w:trPr>
          <w:cantSplit/>
        </w:trPr>
        <w:tc>
          <w:tcPr>
            <w:tcW w:w="3100" w:type="dxa"/>
            <w:shd w:fill="F0F5F9"/>
            <w:vAlign w:val="top"/>
          </w:tcPr>
          <w:p>
            <w:pPr>
              <w:pStyle w:val="TableText"/>
            </w:pPr>
            <w:r>
              <w:rPr>
                <w:sz w:val="18"/>
                <w:rFonts w:ascii="Consolas" w:hAnsi="Consolas"/>
                <w:sz w:val="19"/>
                <w:color w:val="155E75"/>
              </w:rPr>
              <w:t xml:space="preserve">frontend/src/locales</w:t>
            </w:r>
          </w:p>
        </w:tc>
        <w:tc>
          <w:tcPr>
            <w:tcW w:w="6670" w:type="dxa"/>
            <w:shd w:fill="F0F5F9"/>
            <w:vAlign w:val="top"/>
          </w:tcPr>
          <w:p>
            <w:pPr>
              <w:pStyle w:val="TableText"/>
            </w:pPr>
            <w:r>
              <w:rPr>
                <w:sz w:val="18"/>
              </w:rPr>
              <w:t xml:space="preserve">English and Khmer translation dictionaries.</w:t>
            </w:r>
          </w:p>
        </w:tc>
      </w:tr>
      <w:tr>
        <w:trPr>
          <w:cantSplit/>
        </w:trPr>
        <w:tc>
          <w:tcPr>
            <w:tcW w:w="3100" w:type="dxa"/>
            <w:shd w:fill="FFFFFF"/>
            <w:vAlign w:val="top"/>
          </w:tcPr>
          <w:p>
            <w:pPr>
              <w:pStyle w:val="TableText"/>
            </w:pPr>
            <w:r>
              <w:rPr>
                <w:sz w:val="18"/>
                <w:rFonts w:ascii="Consolas" w:hAnsi="Consolas"/>
                <w:sz w:val="19"/>
                <w:color w:val="155E75"/>
              </w:rPr>
              <w:t xml:space="preserve">docker</w:t>
            </w:r>
            <w:r>
              <w:rPr>
                <w:sz w:val="18"/>
              </w:rPr>
              <w:t xml:space="preserve">, Compose files, </w:t>
            </w:r>
            <w:r>
              <w:rPr>
                <w:sz w:val="18"/>
                <w:rFonts w:ascii="Consolas" w:hAnsi="Consolas"/>
                <w:sz w:val="19"/>
                <w:color w:val="155E75"/>
              </w:rPr>
              <w:t xml:space="preserve">.github/workflows</w:t>
            </w:r>
          </w:p>
        </w:tc>
        <w:tc>
          <w:tcPr>
            <w:tcW w:w="6670" w:type="dxa"/>
            <w:shd w:fill="FFFFFF"/>
            <w:vAlign w:val="top"/>
          </w:tcPr>
          <w:p>
            <w:pPr>
              <w:pStyle w:val="TableText"/>
            </w:pPr>
            <w:r>
              <w:rPr>
                <w:sz w:val="18"/>
              </w:rPr>
              <w:t xml:space="preserve">Runtime configuration, deployment, backup scripts and CI.</w:t>
            </w:r>
          </w:p>
        </w:tc>
      </w:tr>
      <w:tr>
        <w:trPr>
          <w:cantSplit/>
        </w:trPr>
        <w:tc>
          <w:tcPr>
            <w:tcW w:w="3100" w:type="dxa"/>
            <w:shd w:fill="F0F5F9"/>
            <w:vAlign w:val="top"/>
          </w:tcPr>
          <w:p>
            <w:pPr>
              <w:pStyle w:val="TableText"/>
            </w:pPr>
            <w:r>
              <w:rPr>
                <w:sz w:val="18"/>
                <w:rFonts w:ascii="Consolas" w:hAnsi="Consolas"/>
                <w:sz w:val="19"/>
                <w:color w:val="155E75"/>
              </w:rPr>
              <w:t xml:space="preserve">docs</w:t>
            </w:r>
          </w:p>
        </w:tc>
        <w:tc>
          <w:tcPr>
            <w:tcW w:w="6670" w:type="dxa"/>
            <w:shd w:fill="F0F5F9"/>
            <w:vAlign w:val="top"/>
          </w:tcPr>
          <w:p>
            <w:pPr>
              <w:pStyle w:val="TableText"/>
            </w:pPr>
            <w:r>
              <w:rPr>
                <w:sz w:val="18"/>
              </w:rPr>
              <w:t xml:space="preserve">Handover, API, architecture, frontend, QA and operating documentation.</w:t>
            </w:r>
          </w:p>
        </w:tc>
      </w:tr>
    </w:tbl>
    <w:p>
      <w:pPr>
        <w:pStyle w:val="Normal"/>
        <w:spacing w:after="60"/>
      </w:pPr>
    </w:p>
    <w:p>
      <w:pPr>
        <w:pStyle w:val="Normal"/>
      </w:pPr>
      <w:r>
        <w:rPr/>
        <w:t xml:space="preserve">The backend owns money, stock, eligibility and authorization. Vue displays results and gathers input. Changing a frontend badge must never be treated as changing an order/payment state on the server.</w:t>
      </w:r>
    </w:p>
    <w:p>
      <w:pPr>
        <w:pStyle w:val="Heading1"/>
      </w:pPr>
      <w:bookmarkStart w:id="5" w:name="chapter_5"/>
      <w:r>
        <w:rPr/>
        <w:t xml:space="preserve">5. Roles, permissions and data ownership</w:t>
      </w:r>
      <w:bookmarkEnd w:id="5"/>
    </w:p>
    <w:tbl>
      <w:tblPr>
        <w:tblW w:w="9770" w:type="dxa"/>
        <w:tblLayout w:type="fixed"/>
        <w:tblCellMar>
          <w:top w:w="90" w:type="dxa"/>
          <w:left w:w="105" w:type="dxa"/>
          <w:bottom w:w="90" w:type="dxa"/>
          <w:right w:w="105" w:type="dxa"/>
        </w:tblCellMar>
        <w:tblBorders>
          <w:insideH w:val="single" w:sz="4" w:color="DCE5ED"/>
        </w:tblBorders>
      </w:tblPr>
      <w:tblGrid>
        <w:gridCol w:w="2300"/>
        <w:gridCol w:w="3050"/>
        <w:gridCol w:w="4420"/>
      </w:tblGrid>
      <w:tr>
        <w:trPr>
          <w:cantSplit/>
          <w:tblHeader/>
        </w:trPr>
        <w:tc>
          <w:tcPr>
            <w:tcW w:w="2300" w:type="dxa"/>
            <w:shd w:fill="16324F"/>
            <w:vAlign w:val="top"/>
          </w:tcPr>
          <w:p>
            <w:pPr>
              <w:pStyle w:val="TableText"/>
            </w:pPr>
            <w:r>
              <w:rPr>
                <w:sz w:val="18"/>
                <w:b/>
                <w:color w:val="FFFFFF"/>
              </w:rPr>
              <w:t xml:space="preserve">Actor</w:t>
            </w:r>
          </w:p>
        </w:tc>
        <w:tc>
          <w:tcPr>
            <w:tcW w:w="3050" w:type="dxa"/>
            <w:shd w:fill="16324F"/>
            <w:vAlign w:val="top"/>
          </w:tcPr>
          <w:p>
            <w:pPr>
              <w:pStyle w:val="TableText"/>
            </w:pPr>
            <w:r>
              <w:rPr>
                <w:sz w:val="18"/>
                <w:b/>
                <w:color w:val="FFFFFF"/>
              </w:rPr>
              <w:t xml:space="preserve">Access model</w:t>
            </w:r>
          </w:p>
        </w:tc>
        <w:tc>
          <w:tcPr>
            <w:tcW w:w="4420" w:type="dxa"/>
            <w:shd w:fill="16324F"/>
            <w:vAlign w:val="top"/>
          </w:tcPr>
          <w:p>
            <w:pPr>
              <w:pStyle w:val="TableText"/>
            </w:pPr>
            <w:r>
              <w:rPr>
                <w:sz w:val="18"/>
                <w:b/>
                <w:color w:val="FFFFFF"/>
              </w:rPr>
              <w:t xml:space="preserve">Practical boundary</w:t>
            </w:r>
          </w:p>
        </w:tc>
      </w:tr>
      <w:tr>
        <w:trPr>
          <w:cantSplit/>
        </w:trPr>
        <w:tc>
          <w:tcPr>
            <w:tcW w:w="2300" w:type="dxa"/>
            <w:shd w:fill="F0F5F9"/>
            <w:vAlign w:val="top"/>
          </w:tcPr>
          <w:p>
            <w:pPr>
              <w:pStyle w:val="TableText"/>
            </w:pPr>
            <w:r>
              <w:rPr>
                <w:sz w:val="18"/>
              </w:rPr>
              <w:t xml:space="preserve">Guest</w:t>
            </w:r>
          </w:p>
        </w:tc>
        <w:tc>
          <w:tcPr>
            <w:tcW w:w="3050" w:type="dxa"/>
            <w:shd w:fill="F0F5F9"/>
            <w:vAlign w:val="top"/>
          </w:tcPr>
          <w:p>
            <w:pPr>
              <w:pStyle w:val="TableText"/>
            </w:pPr>
            <w:r>
              <w:rPr>
                <w:sz w:val="18"/>
              </w:rPr>
              <w:t xml:space="preserve">Public routes plus browser-held session ID for cart/guest checkout.</w:t>
            </w:r>
          </w:p>
        </w:tc>
        <w:tc>
          <w:tcPr>
            <w:tcW w:w="4420" w:type="dxa"/>
            <w:shd w:fill="F0F5F9"/>
            <w:vAlign w:val="top"/>
          </w:tcPr>
          <w:p>
            <w:pPr>
              <w:pStyle w:val="TableText"/>
            </w:pPr>
            <w:r>
              <w:rPr>
                <w:sz w:val="18"/>
              </w:rPr>
              <w:t xml:space="preserve">Can browse and purchase without accessing another session's order. Treat the session identifier as a bearer secret.</w:t>
            </w:r>
          </w:p>
        </w:tc>
      </w:tr>
      <w:tr>
        <w:trPr>
          <w:cantSplit/>
        </w:trPr>
        <w:tc>
          <w:tcPr>
            <w:tcW w:w="2300" w:type="dxa"/>
            <w:shd w:fill="FFFFFF"/>
            <w:vAlign w:val="top"/>
          </w:tcPr>
          <w:p>
            <w:pPr>
              <w:pStyle w:val="TableText"/>
            </w:pPr>
            <w:r>
              <w:rPr>
                <w:sz w:val="18"/>
              </w:rPr>
              <w:t xml:space="preserve">Customer</w:t>
            </w:r>
          </w:p>
        </w:tc>
        <w:tc>
          <w:tcPr>
            <w:tcW w:w="3050" w:type="dxa"/>
            <w:shd w:fill="FFFFFF"/>
            <w:vAlign w:val="top"/>
          </w:tcPr>
          <w:p>
            <w:pPr>
              <w:pStyle w:val="TableText"/>
            </w:pPr>
            <w:r>
              <w:rPr>
                <w:sz w:val="18"/>
              </w:rPr>
              <w:t xml:space="preserve">Authenticated user whose base role is </w:t>
            </w:r>
            <w:r>
              <w:rPr>
                <w:sz w:val="18"/>
                <w:rFonts w:ascii="Consolas" w:hAnsi="Consolas"/>
                <w:sz w:val="19"/>
                <w:color w:val="155E75"/>
              </w:rPr>
              <w:t xml:space="preserve">customer</w:t>
            </w:r>
            <w:r>
              <w:rPr>
                <w:sz w:val="18"/>
              </w:rPr>
              <w:t xml:space="preserve">.</w:t>
            </w:r>
          </w:p>
        </w:tc>
        <w:tc>
          <w:tcPr>
            <w:tcW w:w="4420" w:type="dxa"/>
            <w:shd w:fill="FFFFFF"/>
            <w:vAlign w:val="top"/>
          </w:tcPr>
          <w:p>
            <w:pPr>
              <w:pStyle w:val="TableText"/>
            </w:pPr>
            <w:r>
              <w:rPr>
                <w:sz w:val="18"/>
              </w:rPr>
              <w:t xml:space="preserve">Can maintain their own profile, addresses, wishlist, orders, eligible returns and reviews.</w:t>
            </w:r>
          </w:p>
        </w:tc>
      </w:tr>
      <w:tr>
        <w:trPr>
          <w:cantSplit/>
        </w:trPr>
        <w:tc>
          <w:tcPr>
            <w:tcW w:w="2300" w:type="dxa"/>
            <w:shd w:fill="F0F5F9"/>
            <w:vAlign w:val="top"/>
          </w:tcPr>
          <w:p>
            <w:pPr>
              <w:pStyle w:val="TableText"/>
            </w:pPr>
            <w:r>
              <w:rPr>
                <w:sz w:val="18"/>
              </w:rPr>
              <w:t xml:space="preserve">Shop owner</w:t>
            </w:r>
          </w:p>
        </w:tc>
        <w:tc>
          <w:tcPr>
            <w:tcW w:w="3050" w:type="dxa"/>
            <w:shd w:fill="F0F5F9"/>
            <w:vAlign w:val="top"/>
          </w:tcPr>
          <w:p>
            <w:pPr>
              <w:pStyle w:val="TableText"/>
            </w:pPr>
            <w:r>
              <w:rPr>
                <w:sz w:val="18"/>
              </w:rPr>
              <w:t xml:space="preserve">Active </w:t>
            </w:r>
            <w:r>
              <w:rPr>
                <w:sz w:val="18"/>
                <w:rFonts w:ascii="Consolas" w:hAnsi="Consolas"/>
                <w:sz w:val="19"/>
                <w:color w:val="155E75"/>
              </w:rPr>
              <w:t xml:space="preserve">shop_users</w:t>
            </w:r>
            <w:r>
              <w:rPr>
                <w:sz w:val="18"/>
              </w:rPr>
              <w:t xml:space="preserve"> owner membership.</w:t>
            </w:r>
          </w:p>
        </w:tc>
        <w:tc>
          <w:tcPr>
            <w:tcW w:w="4420" w:type="dxa"/>
            <w:shd w:fill="F0F5F9"/>
            <w:vAlign w:val="top"/>
          </w:tcPr>
          <w:p>
            <w:pPr>
              <w:pStyle w:val="TableText"/>
            </w:pPr>
            <w:r>
              <w:rPr>
                <w:sz w:val="18"/>
              </w:rPr>
              <w:t xml:space="preserve">Can manage that shop and change its banking details under the settings rules.</w:t>
            </w:r>
          </w:p>
        </w:tc>
      </w:tr>
      <w:tr>
        <w:trPr>
          <w:cantSplit/>
        </w:trPr>
        <w:tc>
          <w:tcPr>
            <w:tcW w:w="2300" w:type="dxa"/>
            <w:shd w:fill="FFFFFF"/>
            <w:vAlign w:val="top"/>
          </w:tcPr>
          <w:p>
            <w:pPr>
              <w:pStyle w:val="TableText"/>
            </w:pPr>
            <w:r>
              <w:rPr>
                <w:sz w:val="18"/>
              </w:rPr>
              <w:t xml:space="preserve">Shop manager</w:t>
            </w:r>
          </w:p>
        </w:tc>
        <w:tc>
          <w:tcPr>
            <w:tcW w:w="3050" w:type="dxa"/>
            <w:shd w:fill="FFFFFF"/>
            <w:vAlign w:val="top"/>
          </w:tcPr>
          <w:p>
            <w:pPr>
              <w:pStyle w:val="TableText"/>
            </w:pPr>
            <w:r>
              <w:rPr>
                <w:sz w:val="18"/>
              </w:rPr>
              <w:t xml:space="preserve">Active </w:t>
            </w:r>
            <w:r>
              <w:rPr>
                <w:sz w:val="18"/>
                <w:rFonts w:ascii="Consolas" w:hAnsi="Consolas"/>
                <w:sz w:val="19"/>
                <w:color w:val="155E75"/>
              </w:rPr>
              <w:t xml:space="preserve">shop_users</w:t>
            </w:r>
            <w:r>
              <w:rPr>
                <w:sz w:val="18"/>
              </w:rPr>
              <w:t xml:space="preserve"> manager membership.</w:t>
            </w:r>
          </w:p>
        </w:tc>
        <w:tc>
          <w:tcPr>
            <w:tcW w:w="4420" w:type="dxa"/>
            <w:shd w:fill="FFFFFF"/>
            <w:vAlign w:val="top"/>
          </w:tcPr>
          <w:p>
            <w:pPr>
              <w:pStyle w:val="TableText"/>
            </w:pPr>
            <w:r>
              <w:rPr>
                <w:sz w:val="18"/>
              </w:rPr>
              <w:t xml:space="preserve">Can operate the shop workspace; changing the payment recipient is restricted.</w:t>
            </w:r>
          </w:p>
        </w:tc>
      </w:tr>
      <w:tr>
        <w:trPr>
          <w:cantSplit/>
        </w:trPr>
        <w:tc>
          <w:tcPr>
            <w:tcW w:w="2300" w:type="dxa"/>
            <w:shd w:fill="F0F5F9"/>
            <w:vAlign w:val="top"/>
          </w:tcPr>
          <w:p>
            <w:pPr>
              <w:pStyle w:val="TableText"/>
            </w:pPr>
            <w:r>
              <w:rPr>
                <w:sz w:val="18"/>
              </w:rPr>
              <w:t xml:space="preserve">Super admin</w:t>
            </w:r>
          </w:p>
        </w:tc>
        <w:tc>
          <w:tcPr>
            <w:tcW w:w="3050" w:type="dxa"/>
            <w:shd w:fill="F0F5F9"/>
            <w:vAlign w:val="top"/>
          </w:tcPr>
          <w:p>
            <w:pPr>
              <w:pStyle w:val="TableText"/>
            </w:pPr>
            <w:r>
              <w:rPr>
                <w:sz w:val="18"/>
              </w:rPr>
              <w:t xml:space="preserve">Base role </w:t>
            </w:r>
            <w:r>
              <w:rPr>
                <w:sz w:val="18"/>
                <w:rFonts w:ascii="Consolas" w:hAnsi="Consolas"/>
                <w:sz w:val="19"/>
                <w:color w:val="155E75"/>
              </w:rPr>
              <w:t xml:space="preserve">super_admin</w:t>
            </w:r>
            <w:r>
              <w:rPr>
                <w:sz w:val="18"/>
              </w:rPr>
              <w:t xml:space="preserve">; </w:t>
            </w:r>
            <w:r>
              <w:rPr>
                <w:sz w:val="18"/>
                <w:rFonts w:ascii="Consolas" w:hAnsi="Consolas"/>
                <w:sz w:val="19"/>
                <w:color w:val="155E75"/>
              </w:rPr>
              <w:t xml:space="preserve">User::isAdmin()</w:t>
            </w:r>
            <w:r>
              <w:rPr>
                <w:sz w:val="18"/>
              </w:rPr>
              <w:t xml:space="preserve"> checks this role.</w:t>
            </w:r>
          </w:p>
        </w:tc>
        <w:tc>
          <w:tcPr>
            <w:tcW w:w="4420" w:type="dxa"/>
            <w:shd w:fill="F0F5F9"/>
            <w:vAlign w:val="top"/>
          </w:tcPr>
          <w:p>
            <w:pPr>
              <w:pStyle w:val="TableText"/>
            </w:pPr>
            <w:r>
              <w:rPr>
                <w:sz w:val="18"/>
              </w:rPr>
              <w:t xml:space="preserve">Can use platform administration and relevant policies across shops.</w:t>
            </w:r>
          </w:p>
        </w:tc>
      </w:tr>
    </w:tbl>
    <w:p>
      <w:pPr>
        <w:pStyle w:val="Normal"/>
        <w:spacing w:after="60"/>
      </w:pPr>
    </w:p>
    <w:p>
      <w:pPr>
        <w:pStyle w:val="Normal"/>
      </w:pPr>
      <w:r>
        <w:rPr/>
        <w:t xml:space="preserve">The legacy </w:t>
      </w:r>
      <w:r>
        <w:rPr>
          <w:rFonts w:ascii="Consolas" w:hAnsi="Consolas"/>
          <w:sz w:val="19"/>
          <w:color w:val="155E75"/>
        </w:rPr>
        <w:t xml:space="preserve">admin</w:t>
      </w:r>
      <w:r>
        <w:rPr/>
        <w:t xml:space="preserve"> constant still exists, but current platform administrator checks use </w:t>
      </w:r>
      <w:r>
        <w:rPr>
          <w:rFonts w:ascii="Consolas" w:hAnsi="Consolas"/>
          <w:sz w:val="19"/>
          <w:color w:val="155E75"/>
        </w:rPr>
        <w:t xml:space="preserve">super_admin</w:t>
      </w:r>
      <w:r>
        <w:rPr/>
        <w:t xml:space="preserve">. A seller is normally a customer with shop membership, not a separate global seller role.</w:t>
      </w:r>
    </w:p>
    <w:p>
      <w:pPr>
        <w:pStyle w:val="Normal"/>
      </w:pPr>
      <w:r>
        <w:rPr>
          <w:rFonts w:ascii="Consolas" w:hAnsi="Consolas"/>
          <w:sz w:val="19"/>
          <w:color w:val="155E75"/>
        </w:rPr>
        <w:t xml:space="preserve">EnsureManagedShop</w:t>
      </w:r>
      <w:r>
        <w:rPr/>
        <w:t xml:space="preserve"> validates membership, checks product/inventory/shop-order ownership and supplies server-validated shop context. A request cannot select another seller's shop by changing a body </w:t>
      </w:r>
      <w:r>
        <w:rPr>
          <w:rFonts w:ascii="Consolas" w:hAnsi="Consolas"/>
          <w:sz w:val="19"/>
          <w:color w:val="155E75"/>
        </w:rPr>
        <w:t xml:space="preserve">shop_id</w:t>
      </w:r>
      <w:r>
        <w:rPr/>
        <w:t xml:space="preserve">. Frontend navigation guards improve the user experience; Laravel middleware and policies are the access-control boundary.</w:t>
      </w:r>
    </w:p>
    <w:p>
      <w:pPr>
        <w:pStyle w:val="Normal"/>
      </w:pPr>
      <w:r>
        <w:rPr/>
        <w:t xml:space="preserve">Only trusted provisioning code should assign privileged roles. </w:t>
      </w:r>
      <w:r>
        <w:rPr>
          <w:rFonts w:ascii="Consolas" w:hAnsi="Consolas"/>
          <w:sz w:val="19"/>
          <w:color w:val="155E75"/>
        </w:rPr>
        <w:t xml:space="preserve">User</w:t>
      </w:r>
      <w:r>
        <w:rPr/>
        <w:t xml:space="preserve"> excludes role and email verification from ordinary mass assignment. Private bank configuration, purchase costs and provider data must remain excluded from public resource representations.</w:t>
      </w:r>
    </w:p>
    <w:p>
      <w:pPr>
        <w:pStyle w:val="Heading1"/>
      </w:pPr>
      <w:bookmarkStart w:id="6" w:name="chapter_6"/>
      <w:r>
        <w:rPr/>
        <w:t xml:space="preserve">6. Feature walkthrough and team demonstration paths</w:t>
      </w:r>
      <w:bookmarkEnd w:id="6"/>
    </w:p>
    <w:p>
      <w:pPr>
        <w:pStyle w:val="Heading2"/>
      </w:pPr>
      <w:r>
        <w:rPr/>
        <w:t xml:space="preserve">Customer experience</w:t>
      </w:r>
    </w:p>
    <w:tbl>
      <w:tblPr>
        <w:tblW w:w="9770" w:type="dxa"/>
        <w:tblLayout w:type="fixed"/>
        <w:tblCellMar>
          <w:top w:w="90" w:type="dxa"/>
          <w:left w:w="105" w:type="dxa"/>
          <w:bottom w:w="90" w:type="dxa"/>
          <w:right w:w="105" w:type="dxa"/>
        </w:tblCellMar>
        <w:tblBorders>
          <w:insideH w:val="single" w:sz="4" w:color="DCE5ED"/>
        </w:tblBorders>
      </w:tblPr>
      <w:tblGrid>
        <w:gridCol w:w="2300"/>
        <w:gridCol w:w="3050"/>
        <w:gridCol w:w="4420"/>
      </w:tblGrid>
      <w:tr>
        <w:trPr>
          <w:cantSplit/>
          <w:tblHeader/>
        </w:trPr>
        <w:tc>
          <w:tcPr>
            <w:tcW w:w="2300" w:type="dxa"/>
            <w:shd w:fill="16324F"/>
            <w:vAlign w:val="top"/>
          </w:tcPr>
          <w:p>
            <w:pPr>
              <w:pStyle w:val="TableText"/>
            </w:pPr>
            <w:r>
              <w:rPr>
                <w:sz w:val="18"/>
                <w:b/>
                <w:color w:val="FFFFFF"/>
              </w:rPr>
              <w:t xml:space="preserve">Capability</w:t>
            </w:r>
          </w:p>
        </w:tc>
        <w:tc>
          <w:tcPr>
            <w:tcW w:w="3050" w:type="dxa"/>
            <w:shd w:fill="16324F"/>
            <w:vAlign w:val="top"/>
          </w:tcPr>
          <w:p>
            <w:pPr>
              <w:pStyle w:val="TableText"/>
            </w:pPr>
            <w:r>
              <w:rPr>
                <w:sz w:val="18"/>
                <w:b/>
                <w:color w:val="FFFFFF"/>
              </w:rPr>
              <w:t xml:space="preserve">Screen / route</w:t>
            </w:r>
          </w:p>
        </w:tc>
        <w:tc>
          <w:tcPr>
            <w:tcW w:w="4420" w:type="dxa"/>
            <w:shd w:fill="16324F"/>
            <w:vAlign w:val="top"/>
          </w:tcPr>
          <w:p>
            <w:pPr>
              <w:pStyle w:val="TableText"/>
            </w:pPr>
            <w:r>
              <w:rPr>
                <w:sz w:val="18"/>
                <w:b/>
                <w:color w:val="FFFFFF"/>
              </w:rPr>
              <w:t xml:space="preserve">What it does</w:t>
            </w:r>
          </w:p>
        </w:tc>
      </w:tr>
      <w:tr>
        <w:trPr>
          <w:cantSplit/>
        </w:trPr>
        <w:tc>
          <w:tcPr>
            <w:tcW w:w="2300" w:type="dxa"/>
            <w:shd w:fill="F0F5F9"/>
            <w:vAlign w:val="top"/>
          </w:tcPr>
          <w:p>
            <w:pPr>
              <w:pStyle w:val="TableText"/>
            </w:pPr>
            <w:r>
              <w:rPr>
                <w:sz w:val="18"/>
              </w:rPr>
              <w:t xml:space="preserve">Discover products</w:t>
            </w:r>
          </w:p>
        </w:tc>
        <w:tc>
          <w:tcPr>
            <w:tcW w:w="3050" w:type="dxa"/>
            <w:shd w:fill="F0F5F9"/>
            <w:vAlign w:val="top"/>
          </w:tcPr>
          <w:p>
            <w:pPr>
              <w:pStyle w:val="TableText"/>
            </w:pPr>
            <w:r>
              <w:rPr>
                <w:sz w:val="18"/>
                <w:rFonts w:ascii="Consolas" w:hAnsi="Consolas"/>
                <w:sz w:val="19"/>
                <w:color w:val="155E75"/>
              </w:rPr>
              <w:t xml:space="preserve">/</w:t>
            </w:r>
            <w:r>
              <w:rPr>
                <w:sz w:val="18"/>
              </w:rPr>
              <w:t xml:space="preserve">, </w:t>
            </w:r>
            <w:r>
              <w:rPr>
                <w:sz w:val="18"/>
                <w:rFonts w:ascii="Consolas" w:hAnsi="Consolas"/>
                <w:sz w:val="19"/>
                <w:color w:val="155E75"/>
              </w:rPr>
              <w:t xml:space="preserve">/shop</w:t>
            </w:r>
            <w:r>
              <w:rPr>
                <w:sz w:val="18"/>
              </w:rPr>
              <w:t xml:space="preserve">, </w:t>
            </w:r>
            <w:r>
              <w:rPr>
                <w:sz w:val="18"/>
                <w:rFonts w:ascii="Consolas" w:hAnsi="Consolas"/>
                <w:sz w:val="19"/>
                <w:color w:val="155E75"/>
              </w:rPr>
              <w:t xml:space="preserve">/product/:slug</w:t>
            </w:r>
          </w:p>
        </w:tc>
        <w:tc>
          <w:tcPr>
            <w:tcW w:w="4420" w:type="dxa"/>
            <w:shd w:fill="F0F5F9"/>
            <w:vAlign w:val="top"/>
          </w:tcPr>
          <w:p>
            <w:pPr>
              <w:pStyle w:val="TableText"/>
            </w:pPr>
            <w:r>
              <w:rPr>
                <w:sz w:val="18"/>
              </w:rPr>
              <w:t xml:space="preserve">Browse/search/filter, inspect options/images, see price and availability.</w:t>
            </w:r>
          </w:p>
        </w:tc>
      </w:tr>
      <w:tr>
        <w:trPr>
          <w:cantSplit/>
        </w:trPr>
        <w:tc>
          <w:tcPr>
            <w:tcW w:w="2300" w:type="dxa"/>
            <w:shd w:fill="FFFFFF"/>
            <w:vAlign w:val="top"/>
          </w:tcPr>
          <w:p>
            <w:pPr>
              <w:pStyle w:val="TableText"/>
            </w:pPr>
            <w:r>
              <w:rPr>
                <w:sz w:val="18"/>
              </w:rPr>
              <w:t xml:space="preserve">Discover sellers</w:t>
            </w:r>
          </w:p>
        </w:tc>
        <w:tc>
          <w:tcPr>
            <w:tcW w:w="3050" w:type="dxa"/>
            <w:shd w:fill="FFFFFF"/>
            <w:vAlign w:val="top"/>
          </w:tcPr>
          <w:p>
            <w:pPr>
              <w:pStyle w:val="TableText"/>
            </w:pPr>
            <w:r>
              <w:rPr>
                <w:sz w:val="18"/>
                <w:rFonts w:ascii="Consolas" w:hAnsi="Consolas"/>
                <w:sz w:val="19"/>
                <w:color w:val="155E75"/>
              </w:rPr>
              <w:t xml:space="preserve">/shops</w:t>
            </w:r>
            <w:r>
              <w:rPr>
                <w:sz w:val="18"/>
              </w:rPr>
              <w:t xml:space="preserve">, </w:t>
            </w:r>
            <w:r>
              <w:rPr>
                <w:sz w:val="18"/>
                <w:rFonts w:ascii="Consolas" w:hAnsi="Consolas"/>
                <w:sz w:val="19"/>
                <w:color w:val="155E75"/>
              </w:rPr>
              <w:t xml:space="preserve">/shops/:slug</w:t>
            </w:r>
          </w:p>
        </w:tc>
        <w:tc>
          <w:tcPr>
            <w:tcW w:w="4420" w:type="dxa"/>
            <w:shd w:fill="FFFFFF"/>
            <w:vAlign w:val="top"/>
          </w:tcPr>
          <w:p>
            <w:pPr>
              <w:pStyle w:val="TableText"/>
            </w:pPr>
            <w:r>
              <w:rPr>
                <w:sz w:val="18"/>
              </w:rPr>
              <w:t xml:space="preserve">View active shop profiles and search within one shop.</w:t>
            </w:r>
          </w:p>
        </w:tc>
      </w:tr>
      <w:tr>
        <w:trPr>
          <w:cantSplit/>
        </w:trPr>
        <w:tc>
          <w:tcPr>
            <w:tcW w:w="2300" w:type="dxa"/>
            <w:shd w:fill="F0F5F9"/>
            <w:vAlign w:val="top"/>
          </w:tcPr>
          <w:p>
            <w:pPr>
              <w:pStyle w:val="TableText"/>
            </w:pPr>
            <w:r>
              <w:rPr>
                <w:sz w:val="18"/>
              </w:rPr>
              <w:t xml:space="preserve">Purchase</w:t>
            </w:r>
          </w:p>
        </w:tc>
        <w:tc>
          <w:tcPr>
            <w:tcW w:w="3050" w:type="dxa"/>
            <w:shd w:fill="F0F5F9"/>
            <w:vAlign w:val="top"/>
          </w:tcPr>
          <w:p>
            <w:pPr>
              <w:pStyle w:val="TableText"/>
            </w:pPr>
            <w:r>
              <w:rPr>
                <w:sz w:val="18"/>
                <w:rFonts w:ascii="Consolas" w:hAnsi="Consolas"/>
                <w:sz w:val="19"/>
                <w:color w:val="155E75"/>
              </w:rPr>
              <w:t xml:space="preserve">/cart</w:t>
            </w:r>
            <w:r>
              <w:rPr>
                <w:sz w:val="18"/>
              </w:rPr>
              <w:t xml:space="preserve">, </w:t>
            </w:r>
            <w:r>
              <w:rPr>
                <w:sz w:val="18"/>
                <w:rFonts w:ascii="Consolas" w:hAnsi="Consolas"/>
                <w:sz w:val="19"/>
                <w:color w:val="155E75"/>
              </w:rPr>
              <w:t xml:space="preserve">/checkout</w:t>
            </w:r>
          </w:p>
        </w:tc>
        <w:tc>
          <w:tcPr>
            <w:tcW w:w="4420" w:type="dxa"/>
            <w:shd w:fill="F0F5F9"/>
            <w:vAlign w:val="top"/>
          </w:tcPr>
          <w:p>
            <w:pPr>
              <w:pStyle w:val="TableText"/>
            </w:pPr>
            <w:r>
              <w:rPr>
                <w:sz w:val="18"/>
              </w:rPr>
              <w:t xml:space="preserve">Review selected variants, address, shipping by shop, coupon and payment method.</w:t>
            </w:r>
          </w:p>
        </w:tc>
      </w:tr>
      <w:tr>
        <w:trPr>
          <w:cantSplit/>
        </w:trPr>
        <w:tc>
          <w:tcPr>
            <w:tcW w:w="2300" w:type="dxa"/>
            <w:shd w:fill="FFFFFF"/>
            <w:vAlign w:val="top"/>
          </w:tcPr>
          <w:p>
            <w:pPr>
              <w:pStyle w:val="TableText"/>
            </w:pPr>
            <w:r>
              <w:rPr>
                <w:sz w:val="18"/>
              </w:rPr>
              <w:t xml:space="preserve">Pay / track</w:t>
            </w:r>
          </w:p>
        </w:tc>
        <w:tc>
          <w:tcPr>
            <w:tcW w:w="3050" w:type="dxa"/>
            <w:shd w:fill="FFFFFF"/>
            <w:vAlign w:val="top"/>
          </w:tcPr>
          <w:p>
            <w:pPr>
              <w:pStyle w:val="TableText"/>
            </w:pPr>
            <w:r>
              <w:rPr>
                <w:sz w:val="18"/>
                <w:rFonts w:ascii="Consolas" w:hAnsi="Consolas"/>
                <w:sz w:val="19"/>
                <w:color w:val="155E75"/>
              </w:rPr>
              <w:t xml:space="preserve">/checkout/:orderNumber/payment</w:t>
            </w:r>
            <w:r>
              <w:rPr>
                <w:sz w:val="18"/>
              </w:rPr>
              <w:t xml:space="preserve">, </w:t>
            </w:r>
            <w:r>
              <w:rPr>
                <w:sz w:val="18"/>
                <w:rFonts w:ascii="Consolas" w:hAnsi="Consolas"/>
                <w:sz w:val="19"/>
                <w:color w:val="155E75"/>
              </w:rPr>
              <w:t xml:space="preserve">/account/orders</w:t>
            </w:r>
          </w:p>
        </w:tc>
        <w:tc>
          <w:tcPr>
            <w:tcW w:w="4420" w:type="dxa"/>
            <w:shd w:fill="FFFFFF"/>
            <w:vAlign w:val="top"/>
          </w:tcPr>
          <w:p>
            <w:pPr>
              <w:pStyle w:val="TableText"/>
            </w:pPr>
            <w:r>
              <w:rPr>
                <w:sz w:val="18"/>
              </w:rPr>
              <w:t xml:space="preserve">Check separate shop payments and inspect order/allocation progress.</w:t>
            </w:r>
          </w:p>
        </w:tc>
      </w:tr>
      <w:tr>
        <w:trPr>
          <w:cantSplit/>
        </w:trPr>
        <w:tc>
          <w:tcPr>
            <w:tcW w:w="2300" w:type="dxa"/>
            <w:shd w:fill="F0F5F9"/>
            <w:vAlign w:val="top"/>
          </w:tcPr>
          <w:p>
            <w:pPr>
              <w:pStyle w:val="TableText"/>
            </w:pPr>
            <w:r>
              <w:rPr>
                <w:sz w:val="18"/>
              </w:rPr>
              <w:t xml:space="preserve">Manage account</w:t>
            </w:r>
          </w:p>
        </w:tc>
        <w:tc>
          <w:tcPr>
            <w:tcW w:w="3050" w:type="dxa"/>
            <w:shd w:fill="F0F5F9"/>
            <w:vAlign w:val="top"/>
          </w:tcPr>
          <w:p>
            <w:pPr>
              <w:pStyle w:val="TableText"/>
            </w:pPr>
            <w:r>
              <w:rPr>
                <w:sz w:val="18"/>
                <w:rFonts w:ascii="Consolas" w:hAnsi="Consolas"/>
                <w:sz w:val="19"/>
                <w:color w:val="155E75"/>
              </w:rPr>
              <w:t xml:space="preserve">/account/profile</w:t>
            </w:r>
            <w:r>
              <w:rPr>
                <w:sz w:val="18"/>
              </w:rPr>
              <w:t xml:space="preserve">, </w:t>
            </w:r>
            <w:r>
              <w:rPr>
                <w:sz w:val="18"/>
                <w:rFonts w:ascii="Consolas" w:hAnsi="Consolas"/>
                <w:sz w:val="19"/>
                <w:color w:val="155E75"/>
              </w:rPr>
              <w:t xml:space="preserve">/account/addresses</w:t>
            </w:r>
            <w:r>
              <w:rPr>
                <w:sz w:val="18"/>
              </w:rPr>
              <w:t xml:space="preserve">, </w:t>
            </w:r>
            <w:r>
              <w:rPr>
                <w:sz w:val="18"/>
                <w:rFonts w:ascii="Consolas" w:hAnsi="Consolas"/>
                <w:sz w:val="19"/>
                <w:color w:val="155E75"/>
              </w:rPr>
              <w:t xml:space="preserve">/account/password</w:t>
            </w:r>
          </w:p>
        </w:tc>
        <w:tc>
          <w:tcPr>
            <w:tcW w:w="4420" w:type="dxa"/>
            <w:shd w:fill="F0F5F9"/>
            <w:vAlign w:val="top"/>
          </w:tcPr>
          <w:p>
            <w:pPr>
              <w:pStyle w:val="TableText"/>
            </w:pPr>
            <w:r>
              <w:rPr>
                <w:sz w:val="18"/>
              </w:rPr>
              <w:t xml:space="preserve">Update personal information, delivery addresses and credentials.</w:t>
            </w:r>
          </w:p>
        </w:tc>
      </w:tr>
      <w:tr>
        <w:trPr>
          <w:cantSplit/>
        </w:trPr>
        <w:tc>
          <w:tcPr>
            <w:tcW w:w="2300" w:type="dxa"/>
            <w:shd w:fill="FFFFFF"/>
            <w:vAlign w:val="top"/>
          </w:tcPr>
          <w:p>
            <w:pPr>
              <w:pStyle w:val="TableText"/>
            </w:pPr>
            <w:r>
              <w:rPr>
                <w:sz w:val="18"/>
              </w:rPr>
              <w:t xml:space="preserve">Engage after purchase</w:t>
            </w:r>
          </w:p>
        </w:tc>
        <w:tc>
          <w:tcPr>
            <w:tcW w:w="3050" w:type="dxa"/>
            <w:shd w:fill="FFFFFF"/>
            <w:vAlign w:val="top"/>
          </w:tcPr>
          <w:p>
            <w:pPr>
              <w:pStyle w:val="TableText"/>
            </w:pPr>
            <w:r>
              <w:rPr>
                <w:sz w:val="18"/>
                <w:rFonts w:ascii="Consolas" w:hAnsi="Consolas"/>
                <w:sz w:val="19"/>
                <w:color w:val="155E75"/>
              </w:rPr>
              <w:t xml:space="preserve">/account/reviews</w:t>
            </w:r>
            <w:r>
              <w:rPr>
                <w:sz w:val="18"/>
              </w:rPr>
              <w:t xml:space="preserve">, </w:t>
            </w:r>
            <w:r>
              <w:rPr>
                <w:sz w:val="18"/>
                <w:rFonts w:ascii="Consolas" w:hAnsi="Consolas"/>
                <w:sz w:val="19"/>
                <w:color w:val="155E75"/>
              </w:rPr>
              <w:t xml:space="preserve">/account/returns</w:t>
            </w:r>
            <w:r>
              <w:rPr>
                <w:sz w:val="18"/>
              </w:rPr>
              <w:t xml:space="preserve">, </w:t>
            </w:r>
            <w:r>
              <w:rPr>
                <w:sz w:val="18"/>
                <w:rFonts w:ascii="Consolas" w:hAnsi="Consolas"/>
                <w:sz w:val="19"/>
                <w:color w:val="155E75"/>
              </w:rPr>
              <w:t xml:space="preserve">/account/support</w:t>
            </w:r>
          </w:p>
        </w:tc>
        <w:tc>
          <w:tcPr>
            <w:tcW w:w="4420" w:type="dxa"/>
            <w:shd w:fill="FFFFFF"/>
            <w:vAlign w:val="top"/>
          </w:tcPr>
          <w:p>
            <w:pPr>
              <w:pStyle w:val="TableText"/>
            </w:pPr>
            <w:r>
              <w:rPr>
                <w:sz w:val="18"/>
              </w:rPr>
              <w:t xml:space="preserve">Review delivered purchases, request eligible returns and read support replies.</w:t>
            </w:r>
          </w:p>
        </w:tc>
      </w:tr>
      <w:tr>
        <w:trPr>
          <w:cantSplit/>
        </w:trPr>
        <w:tc>
          <w:tcPr>
            <w:tcW w:w="2300" w:type="dxa"/>
            <w:shd w:fill="F0F5F9"/>
            <w:vAlign w:val="top"/>
          </w:tcPr>
          <w:p>
            <w:pPr>
              <w:pStyle w:val="TableText"/>
            </w:pPr>
            <w:r>
              <w:rPr>
                <w:sz w:val="18"/>
              </w:rPr>
              <w:t xml:space="preserve">Saved items / alerts</w:t>
            </w:r>
          </w:p>
        </w:tc>
        <w:tc>
          <w:tcPr>
            <w:tcW w:w="3050" w:type="dxa"/>
            <w:shd w:fill="F0F5F9"/>
            <w:vAlign w:val="top"/>
          </w:tcPr>
          <w:p>
            <w:pPr>
              <w:pStyle w:val="TableText"/>
            </w:pPr>
            <w:r>
              <w:rPr>
                <w:sz w:val="18"/>
                <w:rFonts w:ascii="Consolas" w:hAnsi="Consolas"/>
                <w:sz w:val="19"/>
                <w:color w:val="155E75"/>
              </w:rPr>
              <w:t xml:space="preserve">/account/wishlist</w:t>
            </w:r>
            <w:r>
              <w:rPr>
                <w:sz w:val="18"/>
              </w:rPr>
              <w:t xml:space="preserve">, </w:t>
            </w:r>
            <w:r>
              <w:rPr>
                <w:sz w:val="18"/>
                <w:rFonts w:ascii="Consolas" w:hAnsi="Consolas"/>
                <w:sz w:val="19"/>
                <w:color w:val="155E75"/>
              </w:rPr>
              <w:t xml:space="preserve">/account/notifications</w:t>
            </w:r>
          </w:p>
        </w:tc>
        <w:tc>
          <w:tcPr>
            <w:tcW w:w="4420" w:type="dxa"/>
            <w:shd w:fill="F0F5F9"/>
            <w:vAlign w:val="top"/>
          </w:tcPr>
          <w:p>
            <w:pPr>
              <w:pStyle w:val="TableText"/>
            </w:pPr>
            <w:r>
              <w:rPr>
                <w:sz w:val="18"/>
              </w:rPr>
              <w:t xml:space="preserve">Retain desired products and inspect account notifications.</w:t>
            </w:r>
          </w:p>
        </w:tc>
      </w:tr>
    </w:tbl>
    <w:p>
      <w:pPr>
        <w:pStyle w:val="Normal"/>
        <w:spacing w:after="60"/>
      </w:pPr>
    </w:p>
    <w:p>
      <w:pPr>
        <w:pStyle w:val="Normal"/>
      </w:pPr>
      <w:r>
        <w:rPr/>
        <w:t xml:space="preserve">The cart holds a variant ID and quantity. A product is the public listing; a variant is the exact sellable option such as a blue shirt in size L. Availability is rechecked during checkout, so adding an item to a cart is not a permanent stock guarantee.</w:t>
      </w:r>
    </w:p>
    <w:p>
      <w:pPr>
        <w:pStyle w:val="Heading2"/>
      </w:pPr>
      <w:r>
        <w:rPr/>
        <w:t xml:space="preserve">Seller experience</w:t>
      </w:r>
    </w:p>
    <w:p>
      <w:pPr>
        <w:pStyle w:val="Normal"/>
      </w:pPr>
      <w:r>
        <w:rPr/>
        <w:t xml:space="preserve">Start at </w:t>
      </w:r>
      <w:r>
        <w:rPr>
          <w:rFonts w:ascii="Consolas" w:hAnsi="Consolas"/>
          <w:sz w:val="19"/>
          <w:color w:val="155E75"/>
        </w:rPr>
        <w:t xml:space="preserve">/seller</w:t>
      </w:r>
      <w:r>
        <w:rPr/>
        <w:t xml:space="preserve">, select a shop, then use </w:t>
      </w:r>
      <w:r>
        <w:rPr>
          <w:rFonts w:ascii="Consolas" w:hAnsi="Consolas"/>
          <w:sz w:val="19"/>
          <w:color w:val="155E75"/>
        </w:rPr>
        <w:t xml:space="preserve">/seller/shops/:id</w:t>
      </w:r>
      <w:r>
        <w:rPr/>
        <w:t xml:space="preserve">. Products, inventory, orders, payments, returns and settings have dedicated screens. Settings includes a public-shop link; the numeric management ID and public shop slug are different identifiers.</w:t>
      </w:r>
    </w:p>
    <w:p>
      <w:pPr>
        <w:pStyle w:val="Normal"/>
      </w:pPr>
      <w:r>
        <w:rPr/>
        <w:t xml:space="preserve">Sellers can create simple products or options, set purchase and selling prices, upload/reorder/remove photos, capture a photo, enter or scan barcodes, manage total stock and process their shop's fulfillment. Payments shows verified receipts and refund actions. An independently shipped shop allocation does not mark every other seller's delivery complete.</w:t>
      </w:r>
    </w:p>
    <w:p>
      <w:pPr>
        <w:pStyle w:val="Heading2"/>
      </w:pPr>
      <w:r>
        <w:rPr/>
        <w:t xml:space="preserve">Platform administration</w:t>
      </w:r>
    </w:p>
    <w:p>
      <w:pPr>
        <w:pStyle w:val="Normal"/>
      </w:pPr>
      <w:r>
        <w:rPr/>
        <w:t xml:space="preserve">The </w:t>
      </w:r>
      <w:r>
        <w:rPr>
          <w:rFonts w:ascii="Consolas" w:hAnsi="Consolas"/>
          <w:sz w:val="19"/>
          <w:color w:val="155E75"/>
        </w:rPr>
        <w:t xml:space="preserve">/admin</w:t>
      </w:r>
      <w:r>
        <w:rPr/>
        <w:t xml:space="preserve"> workspace includes dashboard summaries/charts, catalog/categories/brands, shops and members, customers, inventory, orders/shipments, coupons, reviews, payments, settings, returns, support and CSV/PDF reports. The dashboard is a view of persisted records, not a bank settlement statement. Current COD collection and some report-validation gaps are listed in Chapter 17.</w:t>
      </w:r>
    </w:p>
    <w:p>
      <w:pPr>
        <w:pStyle w:val="Heading1"/>
      </w:pPr>
      <w:bookmarkStart w:id="7" w:name="chapter_7"/>
      <w:r>
        <w:rPr/>
        <w:t xml:space="preserve">7. Database design and important relationships</w:t>
      </w:r>
      <w:bookmarkEnd w:id="7"/>
    </w:p>
    <w:p>
      <w:pPr>
        <w:pStyle w:val="Normal"/>
      </w:pPr>
      <w:r>
        <w:rPr/>
        <w:t xml:space="preserve">Migrations are authoritative. The following catalog groups all 37 business tables listed by </w:t>
      </w:r>
      <w:r>
        <w:rPr>
          <w:rFonts w:ascii="Consolas" w:hAnsi="Consolas"/>
          <w:sz w:val="19"/>
          <w:color w:val="155E75"/>
        </w:rPr>
        <w:t xml:space="preserve">DatabaseSeeder::TABLES</w:t>
      </w:r>
      <w:r>
        <w:rPr/>
        <w:t xml:space="preserve">; framework authentication/cache/queue tables are separate.</w:t>
      </w:r>
    </w:p>
    <w:tbl>
      <w:tblPr>
        <w:tblW w:w="9770" w:type="dxa"/>
        <w:tblLayout w:type="fixed"/>
        <w:tblCellMar>
          <w:top w:w="90" w:type="dxa"/>
          <w:left w:w="105" w:type="dxa"/>
          <w:bottom w:w="90" w:type="dxa"/>
          <w:right w:w="105" w:type="dxa"/>
        </w:tblCellMar>
        <w:tblBorders>
          <w:insideH w:val="single" w:sz="4" w:color="DCE5ED"/>
        </w:tblBorders>
      </w:tblPr>
      <w:tblGrid>
        <w:gridCol w:w="3100"/>
        <w:gridCol w:w="6670"/>
      </w:tblGrid>
      <w:tr>
        <w:trPr>
          <w:cantSplit/>
          <w:tblHeader/>
        </w:trPr>
        <w:tc>
          <w:tcPr>
            <w:tcW w:w="3100" w:type="dxa"/>
            <w:shd w:fill="16324F"/>
            <w:vAlign w:val="top"/>
          </w:tcPr>
          <w:p>
            <w:pPr>
              <w:pStyle w:val="TableText"/>
            </w:pPr>
            <w:r>
              <w:rPr>
                <w:sz w:val="18"/>
                <w:b/>
                <w:color w:val="FFFFFF"/>
              </w:rPr>
              <w:t xml:space="preserve">Tables</w:t>
            </w:r>
          </w:p>
        </w:tc>
        <w:tc>
          <w:tcPr>
            <w:tcW w:w="6670" w:type="dxa"/>
            <w:shd w:fill="16324F"/>
            <w:vAlign w:val="top"/>
          </w:tcPr>
          <w:p>
            <w:pPr>
              <w:pStyle w:val="TableText"/>
            </w:pPr>
            <w:r>
              <w:rPr>
                <w:sz w:val="18"/>
                <w:b/>
                <w:color w:val="FFFFFF"/>
              </w:rPr>
              <w:t xml:space="preserve">Important data / relationships</w:t>
            </w:r>
          </w:p>
        </w:tc>
      </w:tr>
      <w:tr>
        <w:trPr>
          <w:cantSplit/>
        </w:trPr>
        <w:tc>
          <w:tcPr>
            <w:tcW w:w="3100" w:type="dxa"/>
            <w:shd w:fill="F0F5F9"/>
            <w:vAlign w:val="top"/>
          </w:tcPr>
          <w:p>
            <w:pPr>
              <w:pStyle w:val="TableText"/>
            </w:pPr>
            <w:r>
              <w:rPr>
                <w:sz w:val="18"/>
                <w:rFonts w:ascii="Consolas" w:hAnsi="Consolas"/>
                <w:sz w:val="19"/>
                <w:color w:val="155E75"/>
              </w:rPr>
              <w:t xml:space="preserve">users</w:t>
            </w:r>
            <w:r>
              <w:rPr>
                <w:sz w:val="18"/>
              </w:rPr>
              <w:t xml:space="preserve">, </w:t>
            </w:r>
            <w:r>
              <w:rPr>
                <w:sz w:val="18"/>
                <w:rFonts w:ascii="Consolas" w:hAnsi="Consolas"/>
                <w:sz w:val="19"/>
                <w:color w:val="155E75"/>
              </w:rPr>
              <w:t xml:space="preserve">addresses</w:t>
            </w:r>
          </w:p>
        </w:tc>
        <w:tc>
          <w:tcPr>
            <w:tcW w:w="6670" w:type="dxa"/>
            <w:shd w:fill="F0F5F9"/>
            <w:vAlign w:val="top"/>
          </w:tcPr>
          <w:p>
            <w:pPr>
              <w:pStyle w:val="TableText"/>
            </w:pPr>
            <w:r>
              <w:rPr>
                <w:sz w:val="18"/>
              </w:rPr>
              <w:t xml:space="preserve">Accounts, password hashes and contact data; saved addresses belong to users.</w:t>
            </w:r>
          </w:p>
        </w:tc>
      </w:tr>
      <w:tr>
        <w:trPr>
          <w:cantSplit/>
        </w:trPr>
        <w:tc>
          <w:tcPr>
            <w:tcW w:w="3100" w:type="dxa"/>
            <w:shd w:fill="FFFFFF"/>
            <w:vAlign w:val="top"/>
          </w:tcPr>
          <w:p>
            <w:pPr>
              <w:pStyle w:val="TableText"/>
            </w:pPr>
            <w:r>
              <w:rPr>
                <w:sz w:val="18"/>
                <w:rFonts w:ascii="Consolas" w:hAnsi="Consolas"/>
                <w:sz w:val="19"/>
                <w:color w:val="155E75"/>
              </w:rPr>
              <w:t xml:space="preserve">shops</w:t>
            </w:r>
            <w:r>
              <w:rPr>
                <w:sz w:val="18"/>
              </w:rPr>
              <w:t xml:space="preserve">, </w:t>
            </w:r>
            <w:r>
              <w:rPr>
                <w:sz w:val="18"/>
                <w:rFonts w:ascii="Consolas" w:hAnsi="Consolas"/>
                <w:sz w:val="19"/>
                <w:color w:val="155E75"/>
              </w:rPr>
              <w:t xml:space="preserve">shop_users</w:t>
            </w:r>
          </w:p>
        </w:tc>
        <w:tc>
          <w:tcPr>
            <w:tcW w:w="6670" w:type="dxa"/>
            <w:shd w:fill="FFFFFF"/>
            <w:vAlign w:val="top"/>
          </w:tcPr>
          <w:p>
            <w:pPr>
              <w:pStyle w:val="TableText"/>
            </w:pPr>
            <w:r>
              <w:rPr>
                <w:sz w:val="18"/>
              </w:rPr>
              <w:t xml:space="preserve">Shop profile/status/private recipient settings; membership links users to shops with a role and status.</w:t>
            </w:r>
          </w:p>
        </w:tc>
      </w:tr>
      <w:tr>
        <w:trPr>
          <w:cantSplit/>
        </w:trPr>
        <w:tc>
          <w:tcPr>
            <w:tcW w:w="3100" w:type="dxa"/>
            <w:shd w:fill="F0F5F9"/>
            <w:vAlign w:val="top"/>
          </w:tcPr>
          <w:p>
            <w:pPr>
              <w:pStyle w:val="TableText"/>
            </w:pPr>
            <w:r>
              <w:rPr>
                <w:sz w:val="18"/>
                <w:rFonts w:ascii="Consolas" w:hAnsi="Consolas"/>
                <w:sz w:val="19"/>
                <w:color w:val="155E75"/>
              </w:rPr>
              <w:t xml:space="preserve">categories</w:t>
            </w:r>
            <w:r>
              <w:rPr>
                <w:sz w:val="18"/>
              </w:rPr>
              <w:t xml:space="preserve">, </w:t>
            </w:r>
            <w:r>
              <w:rPr>
                <w:sz w:val="18"/>
                <w:rFonts w:ascii="Consolas" w:hAnsi="Consolas"/>
                <w:sz w:val="19"/>
                <w:color w:val="155E75"/>
              </w:rPr>
              <w:t xml:space="preserve">brands</w:t>
            </w:r>
            <w:r>
              <w:rPr>
                <w:sz w:val="18"/>
              </w:rPr>
              <w:t xml:space="preserve">, </w:t>
            </w:r>
            <w:r>
              <w:rPr>
                <w:sz w:val="18"/>
                <w:rFonts w:ascii="Consolas" w:hAnsi="Consolas"/>
                <w:sz w:val="19"/>
                <w:color w:val="155E75"/>
              </w:rPr>
              <w:t xml:space="preserve">products</w:t>
            </w:r>
            <w:r>
              <w:rPr>
                <w:sz w:val="18"/>
              </w:rPr>
              <w:t xml:space="preserve">, </w:t>
            </w:r>
            <w:r>
              <w:rPr>
                <w:sz w:val="18"/>
                <w:rFonts w:ascii="Consolas" w:hAnsi="Consolas"/>
                <w:sz w:val="19"/>
                <w:color w:val="155E75"/>
              </w:rPr>
              <w:t xml:space="preserve">product_images</w:t>
            </w:r>
          </w:p>
        </w:tc>
        <w:tc>
          <w:tcPr>
            <w:tcW w:w="6670" w:type="dxa"/>
            <w:shd w:fill="F0F5F9"/>
            <w:vAlign w:val="top"/>
          </w:tcPr>
          <w:p>
            <w:pPr>
              <w:pStyle w:val="TableText"/>
            </w:pPr>
            <w:r>
              <w:rPr>
                <w:sz w:val="18"/>
              </w:rPr>
              <w:t xml:space="preserve">Product taxonomy, shop ownership, listing data and ordered gallery entries. Categories can have parent categories.</w:t>
            </w:r>
          </w:p>
        </w:tc>
      </w:tr>
      <w:tr>
        <w:trPr>
          <w:cantSplit/>
        </w:trPr>
        <w:tc>
          <w:tcPr>
            <w:tcW w:w="3100" w:type="dxa"/>
            <w:shd w:fill="FFFFFF"/>
            <w:vAlign w:val="top"/>
          </w:tcPr>
          <w:p>
            <w:pPr>
              <w:pStyle w:val="TableText"/>
            </w:pPr>
            <w:r>
              <w:rPr>
                <w:sz w:val="18"/>
                <w:rFonts w:ascii="Consolas" w:hAnsi="Consolas"/>
                <w:sz w:val="19"/>
                <w:color w:val="155E75"/>
              </w:rPr>
              <w:t xml:space="preserve">attributes</w:t>
            </w:r>
            <w:r>
              <w:rPr>
                <w:sz w:val="18"/>
              </w:rPr>
              <w:t xml:space="preserve">, </w:t>
            </w:r>
            <w:r>
              <w:rPr>
                <w:sz w:val="18"/>
                <w:rFonts w:ascii="Consolas" w:hAnsi="Consolas"/>
                <w:sz w:val="19"/>
                <w:color w:val="155E75"/>
              </w:rPr>
              <w:t xml:space="preserve">attribute_values</w:t>
            </w:r>
            <w:r>
              <w:rPr>
                <w:sz w:val="18"/>
              </w:rPr>
              <w:t xml:space="preserve">, </w:t>
            </w:r>
            <w:r>
              <w:rPr>
                <w:sz w:val="18"/>
                <w:rFonts w:ascii="Consolas" w:hAnsi="Consolas"/>
                <w:sz w:val="19"/>
                <w:color w:val="155E75"/>
              </w:rPr>
              <w:t xml:space="preserve">variant_attribute_values</w:t>
            </w:r>
            <w:r>
              <w:rPr>
                <w:sz w:val="18"/>
              </w:rPr>
              <w:t xml:space="preserve">, </w:t>
            </w:r>
            <w:r>
              <w:rPr>
                <w:sz w:val="18"/>
                <w:rFonts w:ascii="Consolas" w:hAnsi="Consolas"/>
                <w:sz w:val="19"/>
                <w:color w:val="155E75"/>
              </w:rPr>
              <w:t xml:space="preserve">product_variants</w:t>
            </w:r>
          </w:p>
        </w:tc>
        <w:tc>
          <w:tcPr>
            <w:tcW w:w="6670" w:type="dxa"/>
            <w:shd w:fill="FFFFFF"/>
            <w:vAlign w:val="top"/>
          </w:tcPr>
          <w:p>
            <w:pPr>
              <w:pStyle w:val="TableText"/>
            </w:pPr>
            <w:r>
              <w:rPr>
                <w:sz w:val="18"/>
              </w:rPr>
              <w:t xml:space="preserve">Attribute definitions, possible values, option-to-value links and exact sellable SKUs/barcodes/prices/costs.</w:t>
            </w:r>
          </w:p>
        </w:tc>
      </w:tr>
      <w:tr>
        <w:trPr>
          <w:cantSplit/>
        </w:trPr>
        <w:tc>
          <w:tcPr>
            <w:tcW w:w="3100" w:type="dxa"/>
            <w:shd w:fill="F0F5F9"/>
            <w:vAlign w:val="top"/>
          </w:tcPr>
          <w:p>
            <w:pPr>
              <w:pStyle w:val="TableText"/>
            </w:pPr>
            <w:r>
              <w:rPr>
                <w:sz w:val="18"/>
                <w:rFonts w:ascii="Consolas" w:hAnsi="Consolas"/>
                <w:sz w:val="19"/>
                <w:color w:val="155E75"/>
              </w:rPr>
              <w:t xml:space="preserve">inventories</w:t>
            </w:r>
            <w:r>
              <w:rPr>
                <w:sz w:val="18"/>
              </w:rPr>
              <w:t xml:space="preserve">, </w:t>
            </w:r>
            <w:r>
              <w:rPr>
                <w:sz w:val="18"/>
                <w:rFonts w:ascii="Consolas" w:hAnsi="Consolas"/>
                <w:sz w:val="19"/>
                <w:color w:val="155E75"/>
              </w:rPr>
              <w:t xml:space="preserve">inventory_transactions</w:t>
            </w:r>
          </w:p>
        </w:tc>
        <w:tc>
          <w:tcPr>
            <w:tcW w:w="6670" w:type="dxa"/>
            <w:shd w:fill="F0F5F9"/>
            <w:vAlign w:val="top"/>
          </w:tcPr>
          <w:p>
            <w:pPr>
              <w:pStyle w:val="TableText"/>
            </w:pPr>
            <w:r>
              <w:rPr>
                <w:sz w:val="18"/>
              </w:rPr>
              <w:t xml:space="preserve">One stock row per variant; on-hand/reserved/sold quantities and shop/actor-linked movement history.</w:t>
            </w:r>
          </w:p>
        </w:tc>
      </w:tr>
      <w:tr>
        <w:trPr>
          <w:cantSplit/>
        </w:trPr>
        <w:tc>
          <w:tcPr>
            <w:tcW w:w="3100" w:type="dxa"/>
            <w:shd w:fill="FFFFFF"/>
            <w:vAlign w:val="top"/>
          </w:tcPr>
          <w:p>
            <w:pPr>
              <w:pStyle w:val="TableText"/>
            </w:pPr>
            <w:r>
              <w:rPr>
                <w:sz w:val="18"/>
                <w:rFonts w:ascii="Consolas" w:hAnsi="Consolas"/>
                <w:sz w:val="19"/>
                <w:color w:val="155E75"/>
              </w:rPr>
              <w:t xml:space="preserve">carts</w:t>
            </w:r>
            <w:r>
              <w:rPr>
                <w:sz w:val="18"/>
              </w:rPr>
              <w:t xml:space="preserve">, </w:t>
            </w:r>
            <w:r>
              <w:rPr>
                <w:sz w:val="18"/>
                <w:rFonts w:ascii="Consolas" w:hAnsi="Consolas"/>
                <w:sz w:val="19"/>
                <w:color w:val="155E75"/>
              </w:rPr>
              <w:t xml:space="preserve">cart_items</w:t>
            </w:r>
            <w:r>
              <w:rPr>
                <w:sz w:val="18"/>
              </w:rPr>
              <w:t xml:space="preserve">, </w:t>
            </w:r>
            <w:r>
              <w:rPr>
                <w:sz w:val="18"/>
                <w:rFonts w:ascii="Consolas" w:hAnsi="Consolas"/>
                <w:sz w:val="19"/>
                <w:color w:val="155E75"/>
              </w:rPr>
              <w:t xml:space="preserve">wishlists</w:t>
            </w:r>
            <w:r>
              <w:rPr>
                <w:sz w:val="18"/>
              </w:rPr>
              <w:t xml:space="preserve">, </w:t>
            </w:r>
            <w:r>
              <w:rPr>
                <w:sz w:val="18"/>
                <w:rFonts w:ascii="Consolas" w:hAnsi="Consolas"/>
                <w:sz w:val="19"/>
                <w:color w:val="155E75"/>
              </w:rPr>
              <w:t xml:space="preserve">wishlist_items</w:t>
            </w:r>
          </w:p>
        </w:tc>
        <w:tc>
          <w:tcPr>
            <w:tcW w:w="6670" w:type="dxa"/>
            <w:shd w:fill="FFFFFF"/>
            <w:vAlign w:val="top"/>
          </w:tcPr>
          <w:p>
            <w:pPr>
              <w:pStyle w:val="TableText"/>
            </w:pPr>
            <w:r>
              <w:rPr>
                <w:sz w:val="18"/>
              </w:rPr>
              <w:t xml:space="preserve">User or guest shopping state; cart lines reference variants and wishlist lines reference products.</w:t>
            </w:r>
          </w:p>
        </w:tc>
      </w:tr>
      <w:tr>
        <w:trPr>
          <w:cantSplit/>
        </w:trPr>
        <w:tc>
          <w:tcPr>
            <w:tcW w:w="3100" w:type="dxa"/>
            <w:shd w:fill="F0F5F9"/>
            <w:vAlign w:val="top"/>
          </w:tcPr>
          <w:p>
            <w:pPr>
              <w:pStyle w:val="TableText"/>
            </w:pPr>
            <w:r>
              <w:rPr>
                <w:sz w:val="18"/>
                <w:rFonts w:ascii="Consolas" w:hAnsi="Consolas"/>
                <w:sz w:val="19"/>
                <w:color w:val="155E75"/>
              </w:rPr>
              <w:t xml:space="preserve">orders</w:t>
            </w:r>
            <w:r>
              <w:rPr>
                <w:sz w:val="18"/>
              </w:rPr>
              <w:t xml:space="preserve">, </w:t>
            </w:r>
            <w:r>
              <w:rPr>
                <w:sz w:val="18"/>
                <w:rFonts w:ascii="Consolas" w:hAnsi="Consolas"/>
                <w:sz w:val="19"/>
                <w:color w:val="155E75"/>
              </w:rPr>
              <w:t xml:space="preserve">order_items</w:t>
            </w:r>
            <w:r>
              <w:rPr>
                <w:sz w:val="18"/>
              </w:rPr>
              <w:t xml:space="preserve">, </w:t>
            </w:r>
            <w:r>
              <w:rPr>
                <w:sz w:val="18"/>
                <w:rFonts w:ascii="Consolas" w:hAnsi="Consolas"/>
                <w:sz w:val="19"/>
                <w:color w:val="155E75"/>
              </w:rPr>
              <w:t xml:space="preserve">shop_orders</w:t>
            </w:r>
          </w:p>
        </w:tc>
        <w:tc>
          <w:tcPr>
            <w:tcW w:w="6670" w:type="dxa"/>
            <w:shd w:fill="F0F5F9"/>
            <w:vAlign w:val="top"/>
          </w:tcPr>
          <w:p>
            <w:pPr>
              <w:pStyle w:val="TableText"/>
            </w:pPr>
            <w:r>
              <w:rPr>
                <w:sz w:val="18"/>
              </w:rPr>
              <w:t xml:space="preserve">Parent purchase, immutable item snapshots and one seller allocation per order/shop.</w:t>
            </w:r>
          </w:p>
        </w:tc>
      </w:tr>
      <w:tr>
        <w:trPr>
          <w:cantSplit/>
        </w:trPr>
        <w:tc>
          <w:tcPr>
            <w:tcW w:w="3100" w:type="dxa"/>
            <w:shd w:fill="FFFFFF"/>
            <w:vAlign w:val="top"/>
          </w:tcPr>
          <w:p>
            <w:pPr>
              <w:pStyle w:val="TableText"/>
            </w:pPr>
            <w:r>
              <w:rPr>
                <w:sz w:val="18"/>
                <w:rFonts w:ascii="Consolas" w:hAnsi="Consolas"/>
                <w:sz w:val="19"/>
                <w:color w:val="155E75"/>
              </w:rPr>
              <w:t xml:space="preserve">payments</w:t>
            </w:r>
            <w:r>
              <w:rPr>
                <w:sz w:val="18"/>
              </w:rPr>
              <w:t xml:space="preserve">, </w:t>
            </w:r>
            <w:r>
              <w:rPr>
                <w:sz w:val="18"/>
                <w:rFonts w:ascii="Consolas" w:hAnsi="Consolas"/>
                <w:sz w:val="19"/>
                <w:color w:val="155E75"/>
              </w:rPr>
              <w:t xml:space="preserve">payment_transactions</w:t>
            </w:r>
            <w:r>
              <w:rPr>
                <w:sz w:val="18"/>
              </w:rPr>
              <w:t xml:space="preserve">, </w:t>
            </w:r>
            <w:r>
              <w:rPr>
                <w:sz w:val="18"/>
                <w:rFonts w:ascii="Consolas" w:hAnsi="Consolas"/>
                <w:sz w:val="19"/>
                <w:color w:val="155E75"/>
              </w:rPr>
              <w:t xml:space="preserve">bakong_payments</w:t>
            </w:r>
          </w:p>
        </w:tc>
        <w:tc>
          <w:tcPr>
            <w:tcW w:w="6670" w:type="dxa"/>
            <w:shd w:fill="FFFFFF"/>
            <w:vAlign w:val="top"/>
          </w:tcPr>
          <w:p>
            <w:pPr>
              <w:pStyle w:val="TableText"/>
            </w:pPr>
            <w:r>
              <w:rPr>
                <w:sz w:val="18"/>
              </w:rPr>
              <w:t xml:space="preserve">Aggregate payment, capture/refund transaction history and persistent shop-specific QR/recipient/amount snapshots.</w:t>
            </w:r>
          </w:p>
        </w:tc>
      </w:tr>
      <w:tr>
        <w:trPr>
          <w:cantSplit/>
        </w:trPr>
        <w:tc>
          <w:tcPr>
            <w:tcW w:w="3100" w:type="dxa"/>
            <w:shd w:fill="F0F5F9"/>
            <w:vAlign w:val="top"/>
          </w:tcPr>
          <w:p>
            <w:pPr>
              <w:pStyle w:val="TableText"/>
            </w:pPr>
            <w:r>
              <w:rPr>
                <w:sz w:val="18"/>
                <w:rFonts w:ascii="Consolas" w:hAnsi="Consolas"/>
                <w:sz w:val="19"/>
                <w:color w:val="155E75"/>
              </w:rPr>
              <w:t xml:space="preserve">shipping_methods</w:t>
            </w:r>
            <w:r>
              <w:rPr>
                <w:sz w:val="18"/>
              </w:rPr>
              <w:t xml:space="preserve">, </w:t>
            </w:r>
            <w:r>
              <w:rPr>
                <w:sz w:val="18"/>
                <w:rFonts w:ascii="Consolas" w:hAnsi="Consolas"/>
                <w:sz w:val="19"/>
                <w:color w:val="155E75"/>
              </w:rPr>
              <w:t xml:space="preserve">shipments</w:t>
            </w:r>
            <w:r>
              <w:rPr>
                <w:sz w:val="18"/>
              </w:rPr>
              <w:t xml:space="preserve">, </w:t>
            </w:r>
            <w:r>
              <w:rPr>
                <w:sz w:val="18"/>
                <w:rFonts w:ascii="Consolas" w:hAnsi="Consolas"/>
                <w:sz w:val="19"/>
                <w:color w:val="155E75"/>
              </w:rPr>
              <w:t xml:space="preserve">tracking_events</w:t>
            </w:r>
          </w:p>
        </w:tc>
        <w:tc>
          <w:tcPr>
            <w:tcW w:w="6670" w:type="dxa"/>
            <w:shd w:fill="F0F5F9"/>
            <w:vAlign w:val="top"/>
          </w:tcPr>
          <w:p>
            <w:pPr>
              <w:pStyle w:val="TableText"/>
            </w:pPr>
            <w:r>
              <w:rPr>
                <w:sz w:val="18"/>
              </w:rPr>
              <w:t xml:space="preserve">Delivery configuration, shop allocation shipment data and timestamped lifecycle history.</w:t>
            </w:r>
          </w:p>
        </w:tc>
      </w:tr>
      <w:tr>
        <w:trPr>
          <w:cantSplit/>
        </w:trPr>
        <w:tc>
          <w:tcPr>
            <w:tcW w:w="3100" w:type="dxa"/>
            <w:shd w:fill="FFFFFF"/>
            <w:vAlign w:val="top"/>
          </w:tcPr>
          <w:p>
            <w:pPr>
              <w:pStyle w:val="TableText"/>
            </w:pPr>
            <w:r>
              <w:rPr>
                <w:sz w:val="18"/>
                <w:rFonts w:ascii="Consolas" w:hAnsi="Consolas"/>
                <w:sz w:val="19"/>
                <w:color w:val="155E75"/>
              </w:rPr>
              <w:t xml:space="preserve">coupons</w:t>
            </w:r>
            <w:r>
              <w:rPr>
                <w:sz w:val="18"/>
              </w:rPr>
              <w:t xml:space="preserve">, </w:t>
            </w:r>
            <w:r>
              <w:rPr>
                <w:sz w:val="18"/>
                <w:rFonts w:ascii="Consolas" w:hAnsi="Consolas"/>
                <w:sz w:val="19"/>
                <w:color w:val="155E75"/>
              </w:rPr>
              <w:t xml:space="preserve">coupon_usages</w:t>
            </w:r>
          </w:p>
        </w:tc>
        <w:tc>
          <w:tcPr>
            <w:tcW w:w="6670" w:type="dxa"/>
            <w:shd w:fill="FFFFFF"/>
            <w:vAlign w:val="top"/>
          </w:tcPr>
          <w:p>
            <w:pPr>
              <w:pStyle w:val="TableText"/>
            </w:pPr>
            <w:r>
              <w:rPr>
                <w:sz w:val="18"/>
              </w:rPr>
              <w:t xml:space="preserve">Promotion rules, limits/counters and order-linked reservations of coupon usage.</w:t>
            </w:r>
          </w:p>
        </w:tc>
      </w:tr>
      <w:tr>
        <w:trPr>
          <w:cantSplit/>
        </w:trPr>
        <w:tc>
          <w:tcPr>
            <w:tcW w:w="3100" w:type="dxa"/>
            <w:shd w:fill="F0F5F9"/>
            <w:vAlign w:val="top"/>
          </w:tcPr>
          <w:p>
            <w:pPr>
              <w:pStyle w:val="TableText"/>
            </w:pPr>
            <w:r>
              <w:rPr>
                <w:sz w:val="18"/>
                <w:rFonts w:ascii="Consolas" w:hAnsi="Consolas"/>
                <w:sz w:val="19"/>
                <w:color w:val="155E75"/>
              </w:rPr>
              <w:t xml:space="preserve">reviews</w:t>
            </w:r>
            <w:r>
              <w:rPr>
                <w:sz w:val="18"/>
              </w:rPr>
              <w:t xml:space="preserve">, </w:t>
            </w:r>
            <w:r>
              <w:rPr>
                <w:sz w:val="18"/>
                <w:rFonts w:ascii="Consolas" w:hAnsi="Consolas"/>
                <w:sz w:val="19"/>
                <w:color w:val="155E75"/>
              </w:rPr>
              <w:t xml:space="preserve">notifications</w:t>
            </w:r>
          </w:p>
        </w:tc>
        <w:tc>
          <w:tcPr>
            <w:tcW w:w="6670" w:type="dxa"/>
            <w:shd w:fill="F0F5F9"/>
            <w:vAlign w:val="top"/>
          </w:tcPr>
          <w:p>
            <w:pPr>
              <w:pStyle w:val="TableText"/>
            </w:pPr>
            <w:r>
              <w:rPr>
                <w:sz w:val="18"/>
              </w:rPr>
              <w:t xml:space="preserve">Verified-purchase moderation and stored user messages.</w:t>
            </w:r>
          </w:p>
        </w:tc>
      </w:tr>
      <w:tr>
        <w:trPr>
          <w:cantSplit/>
        </w:trPr>
        <w:tc>
          <w:tcPr>
            <w:tcW w:w="3100" w:type="dxa"/>
            <w:shd w:fill="FFFFFF"/>
            <w:vAlign w:val="top"/>
          </w:tcPr>
          <w:p>
            <w:pPr>
              <w:pStyle w:val="TableText"/>
            </w:pPr>
            <w:r>
              <w:rPr>
                <w:sz w:val="18"/>
                <w:rFonts w:ascii="Consolas" w:hAnsi="Consolas"/>
                <w:sz w:val="19"/>
                <w:color w:val="155E75"/>
              </w:rPr>
              <w:t xml:space="preserve">order_returns</w:t>
            </w:r>
            <w:r>
              <w:rPr>
                <w:sz w:val="18"/>
              </w:rPr>
              <w:t xml:space="preserve">, </w:t>
            </w:r>
            <w:r>
              <w:rPr>
                <w:sz w:val="18"/>
                <w:rFonts w:ascii="Consolas" w:hAnsi="Consolas"/>
                <w:sz w:val="19"/>
                <w:color w:val="155E75"/>
              </w:rPr>
              <w:t xml:space="preserve">payment_refunds</w:t>
            </w:r>
          </w:p>
        </w:tc>
        <w:tc>
          <w:tcPr>
            <w:tcW w:w="6670" w:type="dxa"/>
            <w:shd w:fill="FFFFFF"/>
            <w:vAlign w:val="top"/>
          </w:tcPr>
          <w:p>
            <w:pPr>
              <w:pStyle w:val="TableText"/>
            </w:pPr>
            <w:r>
              <w:rPr>
                <w:sz w:val="18"/>
              </w:rPr>
              <w:t xml:space="preserve">Item quantities/evidence/return state and uniquely referenced audited refunds.</w:t>
            </w:r>
          </w:p>
        </w:tc>
      </w:tr>
      <w:tr>
        <w:trPr>
          <w:cantSplit/>
        </w:trPr>
        <w:tc>
          <w:tcPr>
            <w:tcW w:w="3100" w:type="dxa"/>
            <w:shd w:fill="F0F5F9"/>
            <w:vAlign w:val="top"/>
          </w:tcPr>
          <w:p>
            <w:pPr>
              <w:pStyle w:val="TableText"/>
            </w:pPr>
            <w:r>
              <w:rPr>
                <w:sz w:val="18"/>
                <w:rFonts w:ascii="Consolas" w:hAnsi="Consolas"/>
                <w:sz w:val="19"/>
                <w:color w:val="155E75"/>
              </w:rPr>
              <w:t xml:space="preserve">checkout_attempts</w:t>
            </w:r>
          </w:p>
        </w:tc>
        <w:tc>
          <w:tcPr>
            <w:tcW w:w="6670" w:type="dxa"/>
            <w:shd w:fill="F0F5F9"/>
            <w:vAlign w:val="top"/>
          </w:tcPr>
          <w:p>
            <w:pPr>
              <w:pStyle w:val="TableText"/>
            </w:pPr>
            <w:r>
              <w:rPr>
                <w:sz w:val="18"/>
              </w:rPr>
              <w:t xml:space="preserve">Owner-scoped request key, payload hash and order link for retry-safe checkout.</w:t>
            </w:r>
          </w:p>
        </w:tc>
      </w:tr>
      <w:tr>
        <w:trPr>
          <w:cantSplit/>
        </w:trPr>
        <w:tc>
          <w:tcPr>
            <w:tcW w:w="3100" w:type="dxa"/>
            <w:shd w:fill="FFFFFF"/>
            <w:vAlign w:val="top"/>
          </w:tcPr>
          <w:p>
            <w:pPr>
              <w:pStyle w:val="TableText"/>
            </w:pPr>
            <w:r>
              <w:rPr>
                <w:sz w:val="18"/>
                <w:rFonts w:ascii="Consolas" w:hAnsi="Consolas"/>
                <w:sz w:val="19"/>
                <w:color w:val="155E75"/>
              </w:rPr>
              <w:t xml:space="preserve">support_requests</w:t>
            </w:r>
            <w:r>
              <w:rPr>
                <w:sz w:val="18"/>
              </w:rPr>
              <w:t xml:space="preserve">, </w:t>
            </w:r>
            <w:r>
              <w:rPr>
                <w:sz w:val="18"/>
                <w:rFonts w:ascii="Consolas" w:hAnsi="Consolas"/>
                <w:sz w:val="19"/>
                <w:color w:val="155E75"/>
              </w:rPr>
              <w:t xml:space="preserve">newsletter_subscriptions</w:t>
            </w:r>
            <w:r>
              <w:rPr>
                <w:sz w:val="18"/>
              </w:rPr>
              <w:t xml:space="preserve">, </w:t>
            </w:r>
            <w:r>
              <w:rPr>
                <w:sz w:val="18"/>
                <w:rFonts w:ascii="Consolas" w:hAnsi="Consolas"/>
                <w:sz w:val="19"/>
                <w:color w:val="155E75"/>
              </w:rPr>
              <w:t xml:space="preserve">settings</w:t>
            </w:r>
          </w:p>
        </w:tc>
        <w:tc>
          <w:tcPr>
            <w:tcW w:w="6670" w:type="dxa"/>
            <w:shd w:fill="FFFFFF"/>
            <w:vAlign w:val="top"/>
          </w:tcPr>
          <w:p>
            <w:pPr>
              <w:pStyle w:val="TableText"/>
            </w:pPr>
            <w:r>
              <w:rPr>
                <w:sz w:val="18"/>
              </w:rPr>
              <w:t xml:space="preserve">Persisted support conversations, consent/unsubscribe state and application configuration.</w:t>
            </w:r>
          </w:p>
        </w:tc>
      </w:tr>
    </w:tbl>
    <w:p>
      <w:pPr>
        <w:pStyle w:val="Normal"/>
        <w:spacing w:after="60"/>
      </w:pPr>
    </w:p>
    <w:p>
      <w:pPr>
        <w:pStyle w:val="Heading2"/>
      </w:pPr>
      <w:r>
        <w:rPr/>
        <w:t xml:space="preserve">Relationship map</w:t>
      </w:r>
    </w:p>
    <w:p>
      <w:pPr>
        <w:pStyle w:val="CodeBlock"/>
        <w:keepNext/>
      </w:pPr>
      <w:r>
        <w:rPr>
          <w:rFonts w:ascii="Consolas" w:hAnsi="Consolas"/>
        </w:rPr>
        <w:t xml:space="preserve">users --&lt; addresses</w:t>
      </w:r>
    </w:p>
    <w:p>
      <w:pPr>
        <w:pStyle w:val="CodeBlock"/>
        <w:keepNext/>
      </w:pPr>
      <w:r>
        <w:rPr>
          <w:rFonts w:ascii="Consolas" w:hAnsi="Consolas"/>
        </w:rPr>
        <w:t xml:space="preserve">users --&lt; shop_users &gt;-- shops --&lt; products</w:t>
      </w:r>
    </w:p>
    <w:p>
      <w:pPr>
        <w:pStyle w:val="CodeBlock"/>
        <w:keepNext/>
      </w:pPr>
      <w:r>
        <w:rPr>
          <w:rFonts w:ascii="Consolas" w:hAnsi="Consolas"/>
        </w:rPr>
        <w:t xml:space="preserve">products --&lt; product_images</w:t>
      </w:r>
    </w:p>
    <w:p>
      <w:pPr>
        <w:pStyle w:val="CodeBlock"/>
        <w:keepNext/>
      </w:pPr>
      <w:r>
        <w:rPr>
          <w:rFonts w:ascii="Consolas" w:hAnsi="Consolas"/>
        </w:rPr>
        <w:t xml:space="preserve">products --&lt; product_variants -- inventories --&lt; inventory_transactions</w:t>
      </w:r>
    </w:p>
    <w:p>
      <w:pPr>
        <w:pStyle w:val="CodeBlock"/>
        <w:keepNext/>
      </w:pPr>
      <w:r>
        <w:rPr>
          <w:rFonts w:ascii="Consolas" w:hAnsi="Consolas"/>
        </w:rPr>
        <w:t xml:space="preserve">product_variants --&lt; variant_attribute_values &gt;-- attribute_values &gt;-- attributes</w:t>
      </w:r>
    </w:p>
    <w:p>
      <w:pPr>
        <w:pStyle w:val="CodeBlock"/>
        <w:keepNext/>
      </w:pPr>
      <w:r>
        <w:rPr>
          <w:rFonts w:ascii="Consolas" w:hAnsi="Consolas"/>
        </w:rPr>
        <w:t xml:space="preserve">users / guest session -- carts --&lt; cart_items &gt;-- product_variants</w:t>
      </w:r>
    </w:p>
    <w:p>
      <w:pPr>
        <w:pStyle w:val="CodeBlock"/>
        <w:keepNext/>
      </w:pPr>
      <w:r>
        <w:rPr>
          <w:rFonts w:ascii="Consolas" w:hAnsi="Consolas"/>
        </w:rPr>
        <w:t xml:space="preserve">users -- wishlists --&lt; wishlist_items &gt;-- products</w:t>
      </w:r>
    </w:p>
    <w:p>
      <w:pPr>
        <w:pStyle w:val="CodeBlock"/>
        <w:keepNext/>
      </w:pPr>
      <w:r>
        <w:rPr>
          <w:rFonts w:ascii="Consolas" w:hAnsi="Consolas"/>
        </w:rPr>
        <w:t xml:space="preserve">users --&lt; orders --&lt; order_items &gt;-- product_variants</w:t>
      </w:r>
    </w:p>
    <w:p>
      <w:pPr>
        <w:pStyle w:val="CodeBlock"/>
        <w:keepNext/>
      </w:pPr>
      <w:r>
        <w:rPr>
          <w:rFonts w:ascii="Consolas" w:hAnsi="Consolas"/>
        </w:rPr>
        <w:t xml:space="preserve">orders --&lt; shop_orders &gt;-- shops</w:t>
      </w:r>
    </w:p>
    <w:p>
      <w:pPr>
        <w:pStyle w:val="CodeBlock"/>
        <w:keepNext/>
      </w:pPr>
      <w:r>
        <w:rPr>
          <w:rFonts w:ascii="Consolas" w:hAnsi="Consolas"/>
        </w:rPr>
        <w:t xml:space="preserve">shop_orders --&lt; order_items</w:t>
      </w:r>
    </w:p>
    <w:p>
      <w:pPr>
        <w:pStyle w:val="CodeBlock"/>
        <w:keepNext/>
      </w:pPr>
      <w:r>
        <w:rPr>
          <w:rFonts w:ascii="Consolas" w:hAnsi="Consolas"/>
        </w:rPr>
        <w:t xml:space="preserve">shop_orders -- shipment / tracking events / Bakong payment</w:t>
      </w:r>
    </w:p>
    <w:p>
      <w:pPr>
        <w:pStyle w:val="CodeBlock"/>
        <w:keepNext/>
      </w:pPr>
      <w:r>
        <w:rPr>
          <w:rFonts w:ascii="Consolas" w:hAnsi="Consolas"/>
        </w:rPr>
        <w:t xml:space="preserve">orders -- payments --&lt; payment_transactions</w:t>
      </w:r>
    </w:p>
    <w:p>
      <w:pPr>
        <w:pStyle w:val="CodeBlock"/>
        <w:keepNext/>
      </w:pPr>
      <w:r>
        <w:rPr>
          <w:rFonts w:ascii="Consolas" w:hAnsi="Consolas"/>
        </w:rPr>
        <w:t xml:space="preserve">orders --&lt; coupon_usages &gt;-- coupons</w:t>
      </w:r>
    </w:p>
    <w:p>
      <w:pPr>
        <w:pStyle w:val="CodeBlock"/>
        <w:keepNext/>
      </w:pPr>
      <w:r>
        <w:rPr>
          <w:rFonts w:ascii="Consolas" w:hAnsi="Consolas"/>
        </w:rPr>
        <w:t xml:space="preserve">order_items --&lt; order_returns -- payment_refunds</w:t>
      </w:r>
    </w:p>
    <w:p>
      <w:pPr>
        <w:pStyle w:val="CodeBlock"/>
        <w:keepNext/>
      </w:pPr>
      <w:r>
        <w:rPr>
          <w:rFonts w:ascii="Consolas" w:hAnsi="Consolas"/>
        </w:rPr>
        <w:t xml:space="preserve">orders --&lt; payment_refunds</w:t>
      </w:r>
    </w:p>
    <w:p>
      <w:pPr>
        <w:pStyle w:val="CodeBlock"/>
      </w:pPr>
      <w:r>
        <w:rPr>
          <w:rFonts w:ascii="Consolas" w:hAnsi="Consolas"/>
        </w:rPr>
        <w:t xml:space="preserve">users --&lt; reviews &gt;-- products</w:t>
      </w:r>
    </w:p>
    <w:p>
      <w:pPr>
        <w:pStyle w:val="Normal"/>
        <w:spacing w:after="50"/>
      </w:pPr>
    </w:p>
    <w:p>
      <w:pPr>
        <w:pStyle w:val="Normal"/>
      </w:pPr>
      <w:r>
        <w:rPr>
          <w:rFonts w:ascii="Consolas" w:hAnsi="Consolas"/>
          <w:sz w:val="19"/>
          <w:color w:val="155E75"/>
        </w:rPr>
        <w:t xml:space="preserve">--&lt;</w:t>
      </w:r>
      <w:r>
        <w:rPr/>
        <w:t xml:space="preserve"> means one-to-many; singular links describe the intended model relationship rather than promising every historical row has a corresponding record. Legacy orders can retain parent-level shipment data. Do not reduce the current schema to one shipment per parent order.</w:t>
      </w:r>
    </w:p>
    <w:p>
      <w:pPr>
        <w:pStyle w:val="Heading2"/>
      </w:pPr>
      <w:r>
        <w:rPr/>
        <w:t xml:space="preserve">Data rules that preserve history</w:t>
      </w:r>
    </w:p>
    <w:p>
      <w:pPr>
        <w:pStyle w:val="Normal"/>
      </w:pPr>
      <w:r>
        <w:rPr>
          <w:rFonts w:ascii="Consolas" w:hAnsi="Consolas"/>
          <w:sz w:val="19"/>
          <w:color w:val="155E75"/>
        </w:rPr>
        <w:t xml:space="preserve">order_items</w:t>
      </w:r>
      <w:r>
        <w:rPr/>
        <w:t xml:space="preserve"> stores the purchased name, variant label, SKU, image, unit price, quantity and line total. Orders snapshot addresses and totals. Shop allocations snapshot their financial share. Bakong records snapshot the recipient, amount, currency and QR. Editing a catalog price, customer address or seller bank account must not rewrite a past transaction.</w:t>
      </w:r>
    </w:p>
    <w:p>
      <w:pPr>
        <w:pStyle w:val="Normal"/>
      </w:pPr>
      <w:r>
        <w:rPr/>
        <w:t xml:space="preserve">Money uses decimal database columns and explicit rounding. Allocation and return code handles cent remainders; do not replace that logic with independent client-side rounding. Schema changes require migrations, and tests/factories/seeders must evolve with the model.</w:t>
      </w:r>
    </w:p>
    <w:p>
      <w:pPr>
        <w:pStyle w:val="Heading1"/>
      </w:pPr>
      <w:bookmarkStart w:id="8" w:name="chapter_8"/>
      <w:r>
        <w:rPr/>
        <w:t xml:space="preserve">8. Core workflows: authentication, catalog and inventory</w:t>
      </w:r>
      <w:bookmarkEnd w:id="8"/>
    </w:p>
    <w:p>
      <w:pPr>
        <w:pStyle w:val="Heading2"/>
      </w:pPr>
      <w:r>
        <w:rPr/>
        <w:t xml:space="preserve">Authentication and session handling</w:t>
      </w:r>
    </w:p>
    <w:p>
      <w:pPr>
        <w:pStyle w:val="Normal"/>
      </w:pPr>
      <w:r>
        <w:rPr/>
        <w:t xml:space="preserve">Registration creates a customer, schedules verification email after the response and attempts to merge the guest cart. Login validates the stored hash, merges guest items within available stock and issues a Sanctum token. The client stores </w:t>
      </w:r>
      <w:r>
        <w:rPr>
          <w:rFonts w:ascii="Consolas" w:hAnsi="Consolas"/>
          <w:sz w:val="19"/>
          <w:color w:val="155E75"/>
        </w:rPr>
        <w:t xml:space="preserve">access_token</w:t>
      </w:r>
      <w:r>
        <w:rPr/>
        <w:t xml:space="preserve">, attaches a bearer header and supplies </w:t>
      </w:r>
      <w:r>
        <w:rPr>
          <w:rFonts w:ascii="Consolas" w:hAnsi="Consolas"/>
          <w:sz w:val="19"/>
          <w:color w:val="155E75"/>
        </w:rPr>
        <w:t xml:space="preserve">X-Session-Id</w:t>
      </w:r>
      <w:r>
        <w:rPr/>
        <w:t xml:space="preserve"> for guest state. Logout revokes the current token; password reset revokes the user's tokens.</w:t>
      </w:r>
    </w:p>
    <w:p>
      <w:pPr>
        <w:pStyle w:val="Normal"/>
      </w:pPr>
      <w:r>
        <w:rPr/>
        <w:t xml:space="preserve">Global token expiry is configured by </w:t>
      </w:r>
      <w:r>
        <w:rPr>
          <w:rFonts w:ascii="Consolas" w:hAnsi="Consolas"/>
          <w:sz w:val="19"/>
          <w:color w:val="155E75"/>
        </w:rPr>
        <w:t xml:space="preserve">SANCTUM_TOKEN_EXPIRATION_MINUTES</w:t>
      </w:r>
      <w:r>
        <w:rPr/>
        <w:t xml:space="preserve">. Login can also issue an explicit remembered-token expiry. There is no implemented JWT refresh endpoint simply because a frontend storage key mentions a refresh token. Auth endpoints have explicit throttles. A 401 clears frontend authentication state; bad credentials are validation errors rather than authenticated-session expiry.</w:t>
      </w:r>
    </w:p>
    <w:p>
      <w:pPr>
        <w:pStyle w:val="Heading2"/>
      </w:pPr>
      <w:r>
        <w:rPr/>
        <w:t xml:space="preserve">Products, options and scanner behavior</w:t>
      </w:r>
    </w:p>
    <w:p>
      <w:pPr>
        <w:pStyle w:val="Normal"/>
      </w:pPr>
      <w:r>
        <w:rPr>
          <w:rFonts w:ascii="Consolas" w:hAnsi="Consolas"/>
          <w:sz w:val="19"/>
          <w:color w:val="155E75"/>
        </w:rPr>
        <w:t xml:space="preserve">SellerProductController</w:t>
      </w:r>
      <w:r>
        <w:rPr/>
        <w:t xml:space="preserve"> adapts the seller request into shared product handling. A simple listing gets a default variant; option listings have independent variant rows and attribute values. A null variant selling price falls back to the product price where supported. Purchase cost is private and must not be serialized in a public catalog response.</w:t>
      </w:r>
    </w:p>
    <w:p>
      <w:pPr>
        <w:pStyle w:val="Normal"/>
      </w:pPr>
      <w:r>
        <w:rPr/>
        <w:t xml:space="preserve">Barcode strings preserve leading zeros. Typing and USB/Bluetooth keyboard scanners use the same input; scanner Enter does not accidentally submit the form. Camera scanning needs HTTPS or localhost and permission. </w:t>
      </w:r>
      <w:r>
        <w:rPr>
          <w:rFonts w:ascii="Consolas" w:hAnsi="Consolas"/>
          <w:sz w:val="19"/>
          <w:color w:val="155E75"/>
        </w:rPr>
        <w:t xml:space="preserve">SellerBarcodeField.vue</w:t>
      </w:r>
      <w:r>
        <w:rPr/>
        <w:t xml:space="preserve"> uses native detection when supported, then a background ZXing worker or compatibility fallback. Camera frames are processed locally; results fill only the selected field and need an explicit save. The 80 ms loop target is not a physical-device speed guarantee.</w:t>
      </w:r>
    </w:p>
    <w:p>
      <w:pPr>
        <w:pStyle w:val="Normal"/>
      </w:pPr>
      <w:r>
        <w:rPr/>
        <w:t xml:space="preserve">Photo upload supports JPEG/PNG/WebP optimization and orientation handling; animated GIFs are preserved. Relevant limits include 5 MB per image, 10 MB combined newly uploaded product images, 20 gallery entries and 12.5 megapixels. There is no crop editor, independent thumbnail pipeline or HEIC transcoder. Check both request validation and reverse-proxy upload limits when changing this flow.</w:t>
      </w:r>
    </w:p>
    <w:p>
      <w:pPr>
        <w:pStyle w:val="Heading2"/>
      </w:pPr>
      <w:r>
        <w:rPr/>
        <w:t xml:space="preserve">Inventory reservation example</w:t>
      </w:r>
    </w:p>
    <w:p>
      <w:pPr>
        <w:pStyle w:val="CodeBlock"/>
        <w:keepNext/>
      </w:pPr>
      <w:r>
        <w:rPr>
          <w:rFonts w:ascii="Consolas" w:hAnsi="Consolas"/>
        </w:rPr>
        <w:t xml:space="preserve">On hand = 12; reserved = 3; available = 9</w:t>
      </w:r>
    </w:p>
    <w:p>
      <w:pPr>
        <w:pStyle w:val="CodeBlock"/>
        <w:keepNext/>
      </w:pPr>
      <w:r>
        <w:rPr>
          <w:rFonts w:ascii="Consolas" w:hAnsi="Consolas"/>
        </w:rPr>
        <w:t xml:space="preserve">New checkout reserves 2 -&gt; on hand 12; reserved 5; available 7</w:t>
      </w:r>
    </w:p>
    <w:p>
      <w:pPr>
        <w:pStyle w:val="CodeBlock"/>
        <w:keepNext/>
      </w:pPr>
      <w:r>
        <w:rPr>
          <w:rFonts w:ascii="Consolas" w:hAnsi="Consolas"/>
        </w:rPr>
        <w:t xml:space="preserve">That checkout pays      -&gt; on hand 10; reserved 3; available 7</w:t>
      </w:r>
    </w:p>
    <w:p>
      <w:pPr>
        <w:pStyle w:val="CodeBlock"/>
      </w:pPr>
      <w:r>
        <w:rPr>
          <w:rFonts w:ascii="Consolas" w:hAnsi="Consolas"/>
        </w:rPr>
        <w:t xml:space="preserve">Instead it expires     -&gt; on hand 12; reserved 3; available 9</w:t>
      </w:r>
    </w:p>
    <w:p>
      <w:pPr>
        <w:pStyle w:val="Normal"/>
        <w:spacing w:after="50"/>
      </w:pPr>
    </w:p>
    <w:p>
      <w:pPr>
        <w:pStyle w:val="Normal"/>
      </w:pPr>
      <w:r>
        <w:rPr>
          <w:rFonts w:ascii="Consolas" w:hAnsi="Consolas"/>
          <w:sz w:val="19"/>
          <w:color w:val="155E75"/>
        </w:rPr>
        <w:t xml:space="preserve">InventoryService</w:t>
      </w:r>
      <w:r>
        <w:rPr/>
        <w:t xml:space="preserve"> locks stock rows for mutations and records movements. Product edits now call the same stock adjustment path used by inventory operations. Sellers set the total on-hand amount, not an increment. A new total below existing reservations is rejected. The product form sends changed stock values only, so saving a description does not overwrite newer stock with an old value.</w:t>
      </w:r>
    </w:p>
    <w:p>
      <w:pPr>
        <w:pStyle w:val="Normal"/>
      </w:pPr>
      <w:r>
        <w:rPr/>
        <w:t xml:space="preserve">Checkout reservation duration defaults to 15 minutes. The scheduler releases expired pending orders. Paid cancellation restores deducted quantities through the appropriate workflow, while financial status depends on the payment method and refund evidence. A low-stock rearming gap on reservation release remains open.</w:t>
      </w:r>
    </w:p>
    <w:p>
      <w:pPr>
        <w:pStyle w:val="Heading1"/>
      </w:pPr>
      <w:bookmarkStart w:id="9" w:name="chapter_9"/>
      <w:r>
        <w:rPr/>
        <w:t xml:space="preserve">9. Checkout, payments, delivery, returns and engagement</w:t>
      </w:r>
      <w:bookmarkEnd w:id="9"/>
    </w:p>
    <w:p>
      <w:pPr>
        <w:pStyle w:val="Heading2"/>
      </w:pPr>
      <w:r>
        <w:rPr/>
        <w:t xml:space="preserve">Multi-shop checkout sequence</w:t>
      </w:r>
    </w:p>
    <w:p>
      <w:pPr>
        <w:pStyle w:val="CodeBlock"/>
        <w:keepNext/>
      </w:pPr>
      <w:r>
        <w:rPr>
          <w:rFonts w:ascii="Consolas" w:hAnsi="Consolas"/>
        </w:rPr>
        <w:t xml:space="preserve">Buyer -&gt; POST /checkout (address, delivery by shop, coupon, method)</w:t>
      </w:r>
    </w:p>
    <w:p>
      <w:pPr>
        <w:pStyle w:val="CodeBlock"/>
        <w:keepNext/>
      </w:pPr>
      <w:r>
        <w:rPr>
          <w:rFonts w:ascii="Consolas" w:hAnsi="Consolas"/>
        </w:rPr>
        <w:t xml:space="preserve">API   -&gt; validate ownership, current products and available stock</w:t>
      </w:r>
    </w:p>
    <w:p>
      <w:pPr>
        <w:pStyle w:val="CodeBlock"/>
        <w:keepNext/>
      </w:pPr>
      <w:r>
        <w:rPr>
          <w:rFonts w:ascii="Consolas" w:hAnsi="Consolas"/>
        </w:rPr>
        <w:t xml:space="preserve">API   -&gt; reserve inventory; calculate totals; snapshot order/items</w:t>
      </w:r>
    </w:p>
    <w:p>
      <w:pPr>
        <w:pStyle w:val="CodeBlock"/>
        <w:keepNext/>
      </w:pPr>
      <w:r>
        <w:rPr>
          <w:rFonts w:ascii="Consolas" w:hAnsi="Consolas"/>
        </w:rPr>
        <w:t xml:space="preserve">API   -&gt; split shop_orders; create payment and shipment records</w:t>
      </w:r>
    </w:p>
    <w:p>
      <w:pPr>
        <w:pStyle w:val="CodeBlock"/>
        <w:keepNext/>
      </w:pPr>
      <w:r>
        <w:rPr>
          <w:rFonts w:ascii="Consolas" w:hAnsi="Consolas"/>
        </w:rPr>
        <w:t xml:space="preserve">Buyer -&gt; display each shop QR; pay seller directly</w:t>
      </w:r>
    </w:p>
    <w:p>
      <w:pPr>
        <w:pStyle w:val="CodeBlock"/>
        <w:keepNext/>
      </w:pPr>
      <w:r>
        <w:rPr>
          <w:rFonts w:ascii="Consolas" w:hAnsi="Consolas"/>
        </w:rPr>
        <w:t xml:space="preserve">API   -&gt; verify bank amount + recipient + currency + unique hash</w:t>
      </w:r>
    </w:p>
    <w:p>
      <w:pPr>
        <w:pStyle w:val="CodeBlock"/>
        <w:keepNext/>
      </w:pPr>
      <w:r>
        <w:rPr>
          <w:rFonts w:ascii="Consolas" w:hAnsi="Consolas"/>
        </w:rPr>
        <w:t xml:space="preserve">API   -&gt; when every shop is paid: confirm order and deduct stock</w:t>
      </w:r>
    </w:p>
    <w:p>
      <w:pPr>
        <w:pStyle w:val="CodeBlock"/>
        <w:keepNext/>
      </w:pPr>
      <w:r>
        <w:rPr>
          <w:rFonts w:ascii="Consolas" w:hAnsi="Consolas"/>
        </w:rPr>
        <w:t xml:space="preserve">Seller-&gt; process and ship only their allocation</w:t>
      </w:r>
    </w:p>
    <w:p>
      <w:pPr>
        <w:pStyle w:val="CodeBlock"/>
      </w:pPr>
      <w:r>
        <w:rPr>
          <w:rFonts w:ascii="Consolas" w:hAnsi="Consolas"/>
        </w:rPr>
        <w:t xml:space="preserve">API   -&gt; parent progress follows the least advanced allocation</w:t>
      </w:r>
    </w:p>
    <w:p>
      <w:pPr>
        <w:pStyle w:val="Normal"/>
        <w:spacing w:after="50"/>
      </w:pPr>
    </w:p>
    <w:p>
      <w:pPr>
        <w:pStyle w:val="Normal"/>
      </w:pPr>
      <w:r>
        <w:rPr/>
        <w:t xml:space="preserve">Amounts are recomputed server-side. Coupon validation checks activation, dates, usage limits and minimum subtotal before applying fixed/percentage discounts. Usage is reserved during order creation and reclaimed on release/cancellation/refund. The coupon row is locked and rechecked during usage creation.</w:t>
      </w:r>
    </w:p>
    <w:p>
      <w:pPr>
        <w:pStyle w:val="Normal"/>
      </w:pPr>
      <w:r>
        <w:rPr>
          <w:rFonts w:ascii="Consolas" w:hAnsi="Consolas"/>
          <w:sz w:val="19"/>
          <w:color w:val="155E75"/>
        </w:rPr>
        <w:t xml:space="preserve">Idempotency-Key</w:t>
      </w:r>
      <w:r>
        <w:rPr/>
        <w:t xml:space="preserve"> is optional. For the same user/guest owner, the server stores a key and payload hash. Retrying the same request returns its existing order; reusing the key with different details is rejected. This protects network retries, not deliberate creation of unlimited distinct checkouts.</w:t>
      </w:r>
    </w:p>
    <w:p>
      <w:pPr>
        <w:pStyle w:val="Heading2"/>
      </w:pPr>
      <w:r>
        <w:rPr/>
        <w:t xml:space="preserve">Bakong and payment exceptions</w:t>
      </w:r>
    </w:p>
    <w:p>
      <w:pPr>
        <w:pStyle w:val="Normal"/>
      </w:pPr>
      <w:r>
        <w:rPr/>
        <w:t xml:space="preserve">Each shop allocation has a persistent dynamic KHQR payment record. The buyer transfers directly to that seller. The server checks the bank using its private API token; a browser-supplied transaction string alone cannot mark a production online order paid. Changing a shop recipient does not redirect an already-issued QR snapshot.</w:t>
      </w:r>
    </w:p>
    <w:p>
      <w:pPr>
        <w:pStyle w:val="Normal"/>
      </w:pPr>
      <w:r>
        <w:rPr/>
        <w:t xml:space="preserve">When only one shop in a two-shop order is paid, the order remains partial. If the reservation window expires, stock is released and collected money becomes refund required. Late receipts are reconciled into the refund workflow rather than silently reviving fulfillment. The scheduled reconciliation job currently scans pending records created within the last seven days; older/unmatched transfers require operator investigation.</w:t>
      </w:r>
    </w:p>
    <w:p>
      <w:pPr>
        <w:pStyle w:val="Normal"/>
      </w:pPr>
      <w:r>
        <w:rPr/>
        <w:t xml:space="preserve">The platform does not initiate payouts or refunds. For a Bakong refund, the seller makes the transfer using the exact order/return-specific memo shown by the app, then submits its hash. </w:t>
      </w:r>
      <w:r>
        <w:rPr>
          <w:rFonts w:ascii="Consolas" w:hAnsi="Consolas"/>
          <w:sz w:val="19"/>
          <w:color w:val="155E75"/>
        </w:rPr>
        <w:t xml:space="preserve">RefundService</w:t>
      </w:r>
      <w:r>
        <w:rPr/>
        <w:t xml:space="preserve"> verifies sender, recipient, amount, currency, unique reference and memo before recording it. Cash refunds require a receipt reference; a ledger entry alone is not evidence of a bank transfer.</w:t>
      </w:r>
    </w:p>
    <w:p>
      <w:pPr>
        <w:pStyle w:val="Heading2"/>
      </w:pPr>
      <w:r>
        <w:rPr/>
        <w:t xml:space="preserve">Fulfillment and order states</w:t>
      </w:r>
    </w:p>
    <w:p>
      <w:pPr>
        <w:pStyle w:val="Normal"/>
      </w:pPr>
      <w:r>
        <w:rPr/>
        <w:t xml:space="preserve">The main progression is pending → confirmed → processing → shipped → delivered. Cancellation/refund branches are restricted by the current state and whether deliveries have already been dispatched. A bank-paid order cannot bypass the return/refund rules by selecting an arbitrary status.</w:t>
      </w:r>
    </w:p>
    <w:p>
      <w:pPr>
        <w:pStyle w:val="Normal"/>
      </w:pPr>
      <w:r>
        <w:rPr/>
        <w:t xml:space="preserve">Seller allocations progress independently. The parent follows the least advanced allocation, preserving another seller's unfinished work. Shipments track carrier, number, state and timestamps. The API resources expose allowed transitions and cancellation eligibility so the UI can present valid actions.</w:t>
      </w:r>
    </w:p>
    <w:p>
      <w:pPr>
        <w:pStyle w:val="Normal"/>
      </w:pPr>
      <w:r>
        <w:rPr/>
        <w:t xml:space="preserve">COD confirmation deducts reserved inventory and confirms fulfillment without claiming that cash has been collected. A complete audited COD collection action is still missing; do not interpret delivered COD records as automatically paid revenue.</w:t>
      </w:r>
    </w:p>
    <w:p>
      <w:pPr>
        <w:pStyle w:val="Heading2"/>
      </w:pPr>
      <w:r>
        <w:rPr/>
        <w:t xml:space="preserve">Returns, reviews and support</w:t>
      </w:r>
    </w:p>
    <w:p>
      <w:pPr>
        <w:pStyle w:val="Normal"/>
      </w:pPr>
      <w:r>
        <w:rPr/>
        <w:t xml:space="preserve">A customer can request an item return only for their own delivered, settled purchase within the configured return window, normally 14 days. Quantities cannot exceed eligible purchased units after existing requests. Refund amounts use cumulative allocation in cents to prevent repeated partial returns from exceeding the item budget. Delivery fees are outside the net-goods refund calculation.</w:t>
      </w:r>
    </w:p>
    <w:p>
      <w:pPr>
        <w:pStyle w:val="Normal"/>
      </w:pPr>
      <w:r>
        <w:rPr/>
        <w:t xml:space="preserve">Return states are requested → approved → received → refunded, or requested → rejected. Rejection needs a reason. Receiving returned goods includes an explicit restock decision. Refunding requires the verified bank proof or cash receipt described above. Evidence photos are private authenticated downloads, not public media URLs.</w:t>
      </w:r>
    </w:p>
    <w:p>
      <w:pPr>
        <w:pStyle w:val="Normal"/>
      </w:pPr>
      <w:r>
        <w:rPr/>
        <w:t xml:space="preserve">Reviews require a delivered order containing the product. New reviews are moderated, and an approved review edited by its author returns to pending. Rejection currently lacks aggregate recalculation; this remains an open defect. Support persists guest/customer requests and administrator replies; newsletter subscriptions retain consent and unsubscribe state. Mass marketing automation is not included.</w:t>
      </w:r>
    </w:p>
    <w:p>
      <w:pPr>
        <w:pStyle w:val="Heading1"/>
      </w:pPr>
      <w:bookmarkStart w:id="10" w:name="chapter_10"/>
      <w:r>
        <w:rPr/>
        <w:t xml:space="preserve">10. Frontend state and API contracts</w:t>
      </w:r>
      <w:bookmarkEnd w:id="10"/>
    </w:p>
    <w:p>
      <w:pPr>
        <w:pStyle w:val="Normal"/>
      </w:pPr>
      <w:r>
        <w:rPr>
          <w:rFonts w:ascii="Consolas" w:hAnsi="Consolas"/>
          <w:sz w:val="19"/>
          <w:color w:val="155E75"/>
        </w:rPr>
        <w:t xml:space="preserve">frontend/src/api/client.ts</w:t>
      </w:r>
      <w:r>
        <w:rPr/>
        <w:t xml:space="preserve"> is the shared Axios client. Its base URL is </w:t>
      </w:r>
      <w:r>
        <w:rPr>
          <w:rFonts w:ascii="Consolas" w:hAnsi="Consolas"/>
          <w:sz w:val="19"/>
          <w:color w:val="155E75"/>
        </w:rPr>
        <w:t xml:space="preserve">VITE_API_URL</w:t>
      </w:r>
      <w:r>
        <w:rPr/>
        <w:t xml:space="preserve"> or </w:t>
      </w:r>
      <w:r>
        <w:rPr>
          <w:rFonts w:ascii="Consolas" w:hAnsi="Consolas"/>
          <w:sz w:val="19"/>
          <w:color w:val="155E75"/>
        </w:rPr>
        <w:t xml:space="preserve">/api</w:t>
      </w:r>
      <w:r>
        <w:rPr/>
        <w:t xml:space="preserve">; it attaches bearer/session headers and handles rejected authentication. Use relative same-origin requests locally through the Vite proxy unless there is an intentional separately configured API origin.</w:t>
      </w:r>
    </w:p>
    <w:tbl>
      <w:tblPr>
        <w:tblW w:w="9770" w:type="dxa"/>
        <w:tblLayout w:type="fixed"/>
        <w:tblCellMar>
          <w:top w:w="90" w:type="dxa"/>
          <w:left w:w="105" w:type="dxa"/>
          <w:bottom w:w="90" w:type="dxa"/>
          <w:right w:w="105" w:type="dxa"/>
        </w:tblCellMar>
        <w:tblBorders>
          <w:insideH w:val="single" w:sz="4" w:color="DCE5ED"/>
        </w:tblBorders>
      </w:tblPr>
      <w:tblGrid>
        <w:gridCol w:w="3100"/>
        <w:gridCol w:w="6670"/>
      </w:tblGrid>
      <w:tr>
        <w:trPr>
          <w:cantSplit/>
          <w:tblHeader/>
        </w:trPr>
        <w:tc>
          <w:tcPr>
            <w:tcW w:w="3100" w:type="dxa"/>
            <w:shd w:fill="16324F"/>
            <w:vAlign w:val="top"/>
          </w:tcPr>
          <w:p>
            <w:pPr>
              <w:pStyle w:val="TableText"/>
            </w:pPr>
            <w:r>
              <w:rPr>
                <w:sz w:val="18"/>
                <w:b/>
                <w:color w:val="FFFFFF"/>
              </w:rPr>
              <w:t xml:space="preserve">Store / layer</w:t>
            </w:r>
          </w:p>
        </w:tc>
        <w:tc>
          <w:tcPr>
            <w:tcW w:w="6670" w:type="dxa"/>
            <w:shd w:fill="16324F"/>
            <w:vAlign w:val="top"/>
          </w:tcPr>
          <w:p>
            <w:pPr>
              <w:pStyle w:val="TableText"/>
            </w:pPr>
            <w:r>
              <w:rPr>
                <w:sz w:val="18"/>
                <w:b/>
                <w:color w:val="FFFFFF"/>
              </w:rPr>
              <w:t xml:space="preserve">Responsibility</w:t>
            </w:r>
          </w:p>
        </w:tc>
      </w:tr>
      <w:tr>
        <w:trPr>
          <w:cantSplit/>
        </w:trPr>
        <w:tc>
          <w:tcPr>
            <w:tcW w:w="3100" w:type="dxa"/>
            <w:shd w:fill="F0F5F9"/>
            <w:vAlign w:val="top"/>
          </w:tcPr>
          <w:p>
            <w:pPr>
              <w:pStyle w:val="TableText"/>
            </w:pPr>
            <w:r>
              <w:rPr>
                <w:sz w:val="18"/>
                <w:rFonts w:ascii="Consolas" w:hAnsi="Consolas"/>
                <w:sz w:val="19"/>
                <w:color w:val="155E75"/>
              </w:rPr>
              <w:t xml:space="preserve">auth.ts</w:t>
            </w:r>
          </w:p>
        </w:tc>
        <w:tc>
          <w:tcPr>
            <w:tcW w:w="6670" w:type="dxa"/>
            <w:shd w:fill="F0F5F9"/>
            <w:vAlign w:val="top"/>
          </w:tcPr>
          <w:p>
            <w:pPr>
              <w:pStyle w:val="TableText"/>
            </w:pPr>
            <w:r>
              <w:rPr>
                <w:sz w:val="18"/>
              </w:rPr>
              <w:t xml:space="preserve">Current identity, token-related login/logout behavior and administrator/seller capabilities.</w:t>
            </w:r>
          </w:p>
        </w:tc>
      </w:tr>
      <w:tr>
        <w:trPr>
          <w:cantSplit/>
        </w:trPr>
        <w:tc>
          <w:tcPr>
            <w:tcW w:w="3100" w:type="dxa"/>
            <w:shd w:fill="FFFFFF"/>
            <w:vAlign w:val="top"/>
          </w:tcPr>
          <w:p>
            <w:pPr>
              <w:pStyle w:val="TableText"/>
            </w:pPr>
            <w:r>
              <w:rPr>
                <w:sz w:val="18"/>
                <w:rFonts w:ascii="Consolas" w:hAnsi="Consolas"/>
                <w:sz w:val="19"/>
                <w:color w:val="155E75"/>
              </w:rPr>
              <w:t xml:space="preserve">cart.ts</w:t>
            </w:r>
            <w:r>
              <w:rPr>
                <w:sz w:val="18"/>
              </w:rPr>
              <w:t xml:space="preserve">, </w:t>
            </w:r>
            <w:r>
              <w:rPr>
                <w:sz w:val="18"/>
                <w:rFonts w:ascii="Consolas" w:hAnsi="Consolas"/>
                <w:sz w:val="19"/>
                <w:color w:val="155E75"/>
              </w:rPr>
              <w:t xml:space="preserve">wishlist.ts</w:t>
            </w:r>
          </w:p>
        </w:tc>
        <w:tc>
          <w:tcPr>
            <w:tcW w:w="6670" w:type="dxa"/>
            <w:shd w:fill="FFFFFF"/>
            <w:vAlign w:val="top"/>
          </w:tcPr>
          <w:p>
            <w:pPr>
              <w:pStyle w:val="TableText"/>
            </w:pPr>
            <w:r>
              <w:rPr>
                <w:sz w:val="18"/>
              </w:rPr>
              <w:t xml:space="preserve">Shared shopping state synchronized with the API.</w:t>
            </w:r>
          </w:p>
        </w:tc>
      </w:tr>
      <w:tr>
        <w:trPr>
          <w:cantSplit/>
        </w:trPr>
        <w:tc>
          <w:tcPr>
            <w:tcW w:w="3100" w:type="dxa"/>
            <w:shd w:fill="F0F5F9"/>
            <w:vAlign w:val="top"/>
          </w:tcPr>
          <w:p>
            <w:pPr>
              <w:pStyle w:val="TableText"/>
            </w:pPr>
            <w:r>
              <w:rPr>
                <w:sz w:val="18"/>
                <w:rFonts w:ascii="Consolas" w:hAnsi="Consolas"/>
                <w:sz w:val="19"/>
                <w:color w:val="155E75"/>
              </w:rPr>
              <w:t xml:space="preserve">sellerWorkspace.ts</w:t>
            </w:r>
          </w:p>
        </w:tc>
        <w:tc>
          <w:tcPr>
            <w:tcW w:w="6670" w:type="dxa"/>
            <w:shd w:fill="F0F5F9"/>
            <w:vAlign w:val="top"/>
          </w:tcPr>
          <w:p>
            <w:pPr>
              <w:pStyle w:val="TableText"/>
            </w:pPr>
            <w:r>
              <w:rPr>
                <w:sz w:val="18"/>
              </w:rPr>
              <w:t xml:space="preserve">Available shops, selected shop and shop dashboard; ignores stale requests after an account/shop change.</w:t>
            </w:r>
          </w:p>
        </w:tc>
      </w:tr>
      <w:tr>
        <w:trPr>
          <w:cantSplit/>
        </w:trPr>
        <w:tc>
          <w:tcPr>
            <w:tcW w:w="3100" w:type="dxa"/>
            <w:shd w:fill="FFFFFF"/>
            <w:vAlign w:val="top"/>
          </w:tcPr>
          <w:p>
            <w:pPr>
              <w:pStyle w:val="TableText"/>
            </w:pPr>
            <w:r>
              <w:rPr>
                <w:sz w:val="18"/>
                <w:rFonts w:ascii="Consolas" w:hAnsi="Consolas"/>
                <w:sz w:val="19"/>
                <w:color w:val="155E75"/>
              </w:rPr>
              <w:t xml:space="preserve">locale.ts</w:t>
            </w:r>
            <w:r>
              <w:rPr>
                <w:sz w:val="18"/>
              </w:rPr>
              <w:t xml:space="preserve">, </w:t>
            </w:r>
            <w:r>
              <w:rPr>
                <w:sz w:val="18"/>
                <w:rFonts w:ascii="Consolas" w:hAnsi="Consolas"/>
                <w:sz w:val="19"/>
                <w:color w:val="155E75"/>
              </w:rPr>
              <w:t xml:space="preserve">theme.ts</w:t>
            </w:r>
            <w:r>
              <w:rPr>
                <w:sz w:val="18"/>
              </w:rPr>
              <w:t xml:space="preserve">, </w:t>
            </w:r>
            <w:r>
              <w:rPr>
                <w:sz w:val="18"/>
                <w:rFonts w:ascii="Consolas" w:hAnsi="Consolas"/>
                <w:sz w:val="19"/>
                <w:color w:val="155E75"/>
              </w:rPr>
              <w:t xml:space="preserve">ui.ts</w:t>
            </w:r>
          </w:p>
        </w:tc>
        <w:tc>
          <w:tcPr>
            <w:tcW w:w="6670" w:type="dxa"/>
            <w:shd w:fill="FFFFFF"/>
            <w:vAlign w:val="top"/>
          </w:tcPr>
          <w:p>
            <w:pPr>
              <w:pStyle w:val="TableText"/>
            </w:pPr>
            <w:r>
              <w:rPr>
                <w:sz w:val="18"/>
              </w:rPr>
              <w:t xml:space="preserve">Language, appearance and shared interaction state.</w:t>
            </w:r>
          </w:p>
        </w:tc>
      </w:tr>
      <w:tr>
        <w:trPr>
          <w:cantSplit/>
        </w:trPr>
        <w:tc>
          <w:tcPr>
            <w:tcW w:w="3100" w:type="dxa"/>
            <w:shd w:fill="F0F5F9"/>
            <w:vAlign w:val="top"/>
          </w:tcPr>
          <w:p>
            <w:pPr>
              <w:pStyle w:val="TableText"/>
            </w:pPr>
            <w:r>
              <w:rPr>
                <w:sz w:val="18"/>
                <w:rFonts w:ascii="Consolas" w:hAnsi="Consolas"/>
                <w:sz w:val="19"/>
                <w:color w:val="155E75"/>
              </w:rPr>
              <w:t xml:space="preserve">router/index.ts</w:t>
            </w:r>
          </w:p>
        </w:tc>
        <w:tc>
          <w:tcPr>
            <w:tcW w:w="6670" w:type="dxa"/>
            <w:shd w:fill="F0F5F9"/>
            <w:vAlign w:val="top"/>
          </w:tcPr>
          <w:p>
            <w:pPr>
              <w:pStyle w:val="TableText"/>
            </w:pPr>
            <w:r>
              <w:rPr>
                <w:sz w:val="18"/>
              </w:rPr>
              <w:t xml:space="preserve">Layout nesting, lazy screen loading and authentication/admin navigation guards.</w:t>
            </w:r>
          </w:p>
        </w:tc>
      </w:tr>
      <w:tr>
        <w:trPr>
          <w:cantSplit/>
        </w:trPr>
        <w:tc>
          <w:tcPr>
            <w:tcW w:w="3100" w:type="dxa"/>
            <w:shd w:fill="FFFFFF"/>
            <w:vAlign w:val="top"/>
          </w:tcPr>
          <w:p>
            <w:pPr>
              <w:pStyle w:val="TableText"/>
            </w:pPr>
            <w:r>
              <w:rPr>
                <w:sz w:val="18"/>
                <w:rFonts w:ascii="Consolas" w:hAnsi="Consolas"/>
                <w:sz w:val="19"/>
                <w:color w:val="155E75"/>
              </w:rPr>
              <w:t xml:space="preserve">types/index.ts</w:t>
            </w:r>
            <w:r>
              <w:rPr>
                <w:sz w:val="18"/>
              </w:rPr>
              <w:t xml:space="preserve">, specialized type files</w:t>
            </w:r>
          </w:p>
        </w:tc>
        <w:tc>
          <w:tcPr>
            <w:tcW w:w="6670" w:type="dxa"/>
            <w:shd w:fill="FFFFFF"/>
            <w:vAlign w:val="top"/>
          </w:tcPr>
          <w:p>
            <w:pPr>
              <w:pStyle w:val="TableText"/>
            </w:pPr>
            <w:r>
              <w:rPr>
                <w:sz w:val="18"/>
              </w:rPr>
              <w:t xml:space="preserve">Response, product-photo, variant and scanner contracts.</w:t>
            </w:r>
          </w:p>
        </w:tc>
      </w:tr>
    </w:tbl>
    <w:p>
      <w:pPr>
        <w:pStyle w:val="Normal"/>
        <w:spacing w:after="60"/>
      </w:pPr>
    </w:p>
    <w:p>
      <w:pPr>
        <w:pStyle w:val="Heading2"/>
      </w:pPr>
      <w:r>
        <w:rPr/>
        <w:t xml:space="preserve">Representative API families</w:t>
      </w:r>
    </w:p>
    <w:p>
      <w:pPr>
        <w:pStyle w:val="Normal"/>
      </w:pPr>
      <w:r>
        <w:rPr/>
        <w:t xml:space="preserve">Paths below are relative to </w:t>
      </w:r>
      <w:r>
        <w:rPr>
          <w:rFonts w:ascii="Consolas" w:hAnsi="Consolas"/>
          <w:sz w:val="19"/>
          <w:color w:val="155E75"/>
        </w:rPr>
        <w:t xml:space="preserve">/api</w:t>
      </w:r>
      <w:r>
        <w:rPr/>
        <w:t xml:space="preserve">; the current complete route definition is </w:t>
      </w:r>
      <w:r>
        <w:rPr>
          <w:rFonts w:ascii="Consolas" w:hAnsi="Consolas"/>
          <w:sz w:val="19"/>
          <w:color w:val="155E75"/>
        </w:rPr>
        <w:t xml:space="preserve">backend/routes/api.php</w:t>
      </w:r>
      <w:r>
        <w:rPr/>
        <w:t xml:space="preserve">. These are entry points, not a replacement for the full API reference.</w:t>
      </w:r>
    </w:p>
    <w:tbl>
      <w:tblPr>
        <w:tblW w:w="9770" w:type="dxa"/>
        <w:tblLayout w:type="fixed"/>
        <w:tblCellMar>
          <w:top w:w="90" w:type="dxa"/>
          <w:left w:w="105" w:type="dxa"/>
          <w:bottom w:w="90" w:type="dxa"/>
          <w:right w:w="105" w:type="dxa"/>
        </w:tblCellMar>
        <w:tblBorders>
          <w:insideH w:val="single" w:sz="4" w:color="DCE5ED"/>
        </w:tblBorders>
      </w:tblPr>
      <w:tblGrid>
        <w:gridCol w:w="3100"/>
        <w:gridCol w:w="6670"/>
      </w:tblGrid>
      <w:tr>
        <w:trPr>
          <w:cantSplit/>
          <w:tblHeader/>
        </w:trPr>
        <w:tc>
          <w:tcPr>
            <w:tcW w:w="3100" w:type="dxa"/>
            <w:shd w:fill="16324F"/>
            <w:vAlign w:val="top"/>
          </w:tcPr>
          <w:p>
            <w:pPr>
              <w:pStyle w:val="TableText"/>
            </w:pPr>
            <w:r>
              <w:rPr>
                <w:sz w:val="18"/>
                <w:b/>
                <w:color w:val="FFFFFF"/>
              </w:rPr>
              <w:t xml:space="preserve">Endpoint</w:t>
            </w:r>
          </w:p>
        </w:tc>
        <w:tc>
          <w:tcPr>
            <w:tcW w:w="6670" w:type="dxa"/>
            <w:shd w:fill="16324F"/>
            <w:vAlign w:val="top"/>
          </w:tcPr>
          <w:p>
            <w:pPr>
              <w:pStyle w:val="TableText"/>
            </w:pPr>
            <w:r>
              <w:rPr>
                <w:sz w:val="18"/>
                <w:b/>
                <w:color w:val="FFFFFF"/>
              </w:rPr>
              <w:t xml:space="preserve">Access / purpose</w:t>
            </w:r>
          </w:p>
        </w:tc>
      </w:tr>
      <w:tr>
        <w:trPr>
          <w:cantSplit/>
        </w:trPr>
        <w:tc>
          <w:tcPr>
            <w:tcW w:w="3100" w:type="dxa"/>
            <w:shd w:fill="F0F5F9"/>
            <w:vAlign w:val="top"/>
          </w:tcPr>
          <w:p>
            <w:pPr>
              <w:pStyle w:val="TableText"/>
            </w:pPr>
            <w:r>
              <w:rPr>
                <w:sz w:val="18"/>
                <w:rFonts w:ascii="Consolas" w:hAnsi="Consolas"/>
                <w:sz w:val="19"/>
                <w:color w:val="155E75"/>
              </w:rPr>
              <w:t xml:space="preserve">POST /auth/register</w:t>
            </w:r>
            <w:r>
              <w:rPr>
                <w:sz w:val="18"/>
              </w:rPr>
              <w:t xml:space="preserve">, </w:t>
            </w:r>
            <w:r>
              <w:rPr>
                <w:sz w:val="18"/>
                <w:rFonts w:ascii="Consolas" w:hAnsi="Consolas"/>
                <w:sz w:val="19"/>
                <w:color w:val="155E75"/>
              </w:rPr>
              <w:t xml:space="preserve">POST /auth/login</w:t>
            </w:r>
          </w:p>
        </w:tc>
        <w:tc>
          <w:tcPr>
            <w:tcW w:w="6670" w:type="dxa"/>
            <w:shd w:fill="F0F5F9"/>
            <w:vAlign w:val="top"/>
          </w:tcPr>
          <w:p>
            <w:pPr>
              <w:pStyle w:val="TableText"/>
            </w:pPr>
            <w:r>
              <w:rPr>
                <w:sz w:val="18"/>
              </w:rPr>
              <w:t xml:space="preserve">Public, throttled account creation/login.</w:t>
            </w:r>
          </w:p>
        </w:tc>
      </w:tr>
      <w:tr>
        <w:trPr>
          <w:cantSplit/>
        </w:trPr>
        <w:tc>
          <w:tcPr>
            <w:tcW w:w="3100" w:type="dxa"/>
            <w:shd w:fill="FFFFFF"/>
            <w:vAlign w:val="top"/>
          </w:tcPr>
          <w:p>
            <w:pPr>
              <w:pStyle w:val="TableText"/>
            </w:pPr>
            <w:r>
              <w:rPr>
                <w:sz w:val="18"/>
                <w:rFonts w:ascii="Consolas" w:hAnsi="Consolas"/>
                <w:sz w:val="19"/>
                <w:color w:val="155E75"/>
              </w:rPr>
              <w:t xml:space="preserve">GET /auth/me</w:t>
            </w:r>
            <w:r>
              <w:rPr>
                <w:sz w:val="18"/>
              </w:rPr>
              <w:t xml:space="preserve">, </w:t>
            </w:r>
            <w:r>
              <w:rPr>
                <w:sz w:val="18"/>
                <w:rFonts w:ascii="Consolas" w:hAnsi="Consolas"/>
                <w:sz w:val="19"/>
                <w:color w:val="155E75"/>
              </w:rPr>
              <w:t xml:space="preserve">POST /auth/logout</w:t>
            </w:r>
          </w:p>
        </w:tc>
        <w:tc>
          <w:tcPr>
            <w:tcW w:w="6670" w:type="dxa"/>
            <w:shd w:fill="FFFFFF"/>
            <w:vAlign w:val="top"/>
          </w:tcPr>
          <w:p>
            <w:pPr>
              <w:pStyle w:val="TableText"/>
            </w:pPr>
            <w:r>
              <w:rPr>
                <w:sz w:val="18"/>
              </w:rPr>
              <w:t xml:space="preserve">Sanctum identity/current-token revocation.</w:t>
            </w:r>
          </w:p>
        </w:tc>
      </w:tr>
      <w:tr>
        <w:trPr>
          <w:cantSplit/>
        </w:trPr>
        <w:tc>
          <w:tcPr>
            <w:tcW w:w="3100" w:type="dxa"/>
            <w:shd w:fill="F0F5F9"/>
            <w:vAlign w:val="top"/>
          </w:tcPr>
          <w:p>
            <w:pPr>
              <w:pStyle w:val="TableText"/>
            </w:pPr>
            <w:r>
              <w:rPr>
                <w:sz w:val="18"/>
                <w:rFonts w:ascii="Consolas" w:hAnsi="Consolas"/>
                <w:sz w:val="19"/>
                <w:color w:val="155E75"/>
              </w:rPr>
              <w:t xml:space="preserve">GET /catalog/products</w:t>
            </w:r>
            <w:r>
              <w:rPr>
                <w:sz w:val="18"/>
              </w:rPr>
              <w:t xml:space="preserve">, </w:t>
            </w:r>
            <w:r>
              <w:rPr>
                <w:sz w:val="18"/>
                <w:rFonts w:ascii="Consolas" w:hAnsi="Consolas"/>
                <w:sz w:val="19"/>
                <w:color w:val="155E75"/>
              </w:rPr>
              <w:t xml:space="preserve">GET /catalog/products/{slug}</w:t>
            </w:r>
          </w:p>
        </w:tc>
        <w:tc>
          <w:tcPr>
            <w:tcW w:w="6670" w:type="dxa"/>
            <w:shd w:fill="F0F5F9"/>
            <w:vAlign w:val="top"/>
          </w:tcPr>
          <w:p>
            <w:pPr>
              <w:pStyle w:val="TableText"/>
            </w:pPr>
            <w:r>
              <w:rPr>
                <w:sz w:val="18"/>
              </w:rPr>
              <w:t xml:space="preserve">Public active catalog and detail.</w:t>
            </w:r>
          </w:p>
        </w:tc>
      </w:tr>
      <w:tr>
        <w:trPr>
          <w:cantSplit/>
        </w:trPr>
        <w:tc>
          <w:tcPr>
            <w:tcW w:w="3100" w:type="dxa"/>
            <w:shd w:fill="FFFFFF"/>
            <w:vAlign w:val="top"/>
          </w:tcPr>
          <w:p>
            <w:pPr>
              <w:pStyle w:val="TableText"/>
            </w:pPr>
            <w:r>
              <w:rPr>
                <w:sz w:val="18"/>
                <w:rFonts w:ascii="Consolas" w:hAnsi="Consolas"/>
                <w:sz w:val="19"/>
                <w:color w:val="155E75"/>
              </w:rPr>
              <w:t xml:space="preserve">GET /shops</w:t>
            </w:r>
            <w:r>
              <w:rPr>
                <w:sz w:val="18"/>
              </w:rPr>
              <w:t xml:space="preserve">, </w:t>
            </w:r>
            <w:r>
              <w:rPr>
                <w:sz w:val="18"/>
                <w:rFonts w:ascii="Consolas" w:hAnsi="Consolas"/>
                <w:sz w:val="19"/>
                <w:color w:val="155E75"/>
              </w:rPr>
              <w:t xml:space="preserve">GET /shops/{slug}/products</w:t>
            </w:r>
          </w:p>
        </w:tc>
        <w:tc>
          <w:tcPr>
            <w:tcW w:w="6670" w:type="dxa"/>
            <w:shd w:fill="FFFFFF"/>
            <w:vAlign w:val="top"/>
          </w:tcPr>
          <w:p>
            <w:pPr>
              <w:pStyle w:val="TableText"/>
            </w:pPr>
            <w:r>
              <w:rPr>
                <w:sz w:val="18"/>
              </w:rPr>
              <w:t xml:space="preserve">Public shop discovery and scoped products.</w:t>
            </w:r>
          </w:p>
        </w:tc>
      </w:tr>
      <w:tr>
        <w:trPr>
          <w:cantSplit/>
        </w:trPr>
        <w:tc>
          <w:tcPr>
            <w:tcW w:w="3100" w:type="dxa"/>
            <w:shd w:fill="F0F5F9"/>
            <w:vAlign w:val="top"/>
          </w:tcPr>
          <w:p>
            <w:pPr>
              <w:pStyle w:val="TableText"/>
            </w:pPr>
            <w:r>
              <w:rPr>
                <w:sz w:val="18"/>
                <w:rFonts w:ascii="Consolas" w:hAnsi="Consolas"/>
                <w:sz w:val="19"/>
                <w:color w:val="155E75"/>
              </w:rPr>
              <w:t xml:space="preserve">POST /cart</w:t>
            </w:r>
            <w:r>
              <w:rPr>
                <w:sz w:val="18"/>
              </w:rPr>
              <w:t xml:space="preserve">, </w:t>
            </w:r>
            <w:r>
              <w:rPr>
                <w:sz w:val="18"/>
                <w:rFonts w:ascii="Consolas" w:hAnsi="Consolas"/>
                <w:sz w:val="19"/>
                <w:color w:val="155E75"/>
              </w:rPr>
              <w:t xml:space="preserve">PUT /cart/items/{cartItem}</w:t>
            </w:r>
          </w:p>
        </w:tc>
        <w:tc>
          <w:tcPr>
            <w:tcW w:w="6670" w:type="dxa"/>
            <w:shd w:fill="F0F5F9"/>
            <w:vAlign w:val="top"/>
          </w:tcPr>
          <w:p>
            <w:pPr>
              <w:pStyle w:val="TableText"/>
            </w:pPr>
            <w:r>
              <w:rPr>
                <w:sz w:val="18"/>
              </w:rPr>
              <w:t xml:space="preserve">User or guest session; add/update exact variants.</w:t>
            </w:r>
          </w:p>
        </w:tc>
      </w:tr>
      <w:tr>
        <w:trPr>
          <w:cantSplit/>
        </w:trPr>
        <w:tc>
          <w:tcPr>
            <w:tcW w:w="3100" w:type="dxa"/>
            <w:shd w:fill="FFFFFF"/>
            <w:vAlign w:val="top"/>
          </w:tcPr>
          <w:p>
            <w:pPr>
              <w:pStyle w:val="TableText"/>
            </w:pPr>
            <w:r>
              <w:rPr>
                <w:sz w:val="18"/>
                <w:rFonts w:ascii="Consolas" w:hAnsi="Consolas"/>
                <w:sz w:val="19"/>
                <w:color w:val="155E75"/>
              </w:rPr>
              <w:t xml:space="preserve">POST /checkout</w:t>
            </w:r>
          </w:p>
        </w:tc>
        <w:tc>
          <w:tcPr>
            <w:tcW w:w="6670" w:type="dxa"/>
            <w:shd w:fill="FFFFFF"/>
            <w:vAlign w:val="top"/>
          </w:tcPr>
          <w:p>
            <w:pPr>
              <w:pStyle w:val="TableText"/>
            </w:pPr>
            <w:r>
              <w:rPr>
                <w:sz w:val="18"/>
              </w:rPr>
              <w:t xml:space="preserve">User/guest checkout with optional idempotency header.</w:t>
            </w:r>
          </w:p>
        </w:tc>
      </w:tr>
      <w:tr>
        <w:trPr>
          <w:cantSplit/>
        </w:trPr>
        <w:tc>
          <w:tcPr>
            <w:tcW w:w="3100" w:type="dxa"/>
            <w:shd w:fill="F0F5F9"/>
            <w:vAlign w:val="top"/>
          </w:tcPr>
          <w:p>
            <w:pPr>
              <w:pStyle w:val="TableText"/>
            </w:pPr>
            <w:r>
              <w:rPr>
                <w:sz w:val="18"/>
                <w:rFonts w:ascii="Consolas" w:hAnsi="Consolas"/>
                <w:sz w:val="19"/>
                <w:color w:val="155E75"/>
              </w:rPr>
              <w:t xml:space="preserve">GET /checkout/{orderNumber}/bakong</w:t>
            </w:r>
            <w:r>
              <w:rPr>
                <w:sz w:val="18"/>
              </w:rPr>
              <w:t xml:space="preserve">, </w:t>
            </w:r>
            <w:r>
              <w:rPr>
                <w:sz w:val="18"/>
                <w:rFonts w:ascii="Consolas" w:hAnsi="Consolas"/>
                <w:sz w:val="19"/>
                <w:color w:val="155E75"/>
              </w:rPr>
              <w:t xml:space="preserve">POST /checkout/{orderNumber}/bakong/verify</w:t>
            </w:r>
          </w:p>
        </w:tc>
        <w:tc>
          <w:tcPr>
            <w:tcW w:w="6670" w:type="dxa"/>
            <w:shd w:fill="F0F5F9"/>
            <w:vAlign w:val="top"/>
          </w:tcPr>
          <w:p>
            <w:pPr>
              <w:pStyle w:val="TableText"/>
            </w:pPr>
            <w:r>
              <w:rPr>
                <w:sz w:val="18"/>
              </w:rPr>
              <w:t xml:space="preserve">Owned order; prepare/read and verify shop payments.</w:t>
            </w:r>
          </w:p>
        </w:tc>
      </w:tr>
      <w:tr>
        <w:trPr>
          <w:cantSplit/>
        </w:trPr>
        <w:tc>
          <w:tcPr>
            <w:tcW w:w="3100" w:type="dxa"/>
            <w:shd w:fill="FFFFFF"/>
            <w:vAlign w:val="top"/>
          </w:tcPr>
          <w:p>
            <w:pPr>
              <w:pStyle w:val="TableText"/>
            </w:pPr>
            <w:r>
              <w:rPr>
                <w:sz w:val="18"/>
                <w:rFonts w:ascii="Consolas" w:hAnsi="Consolas"/>
                <w:sz w:val="19"/>
                <w:color w:val="155E75"/>
              </w:rPr>
              <w:t xml:space="preserve">GET /orders</w:t>
            </w:r>
            <w:r>
              <w:rPr>
                <w:sz w:val="18"/>
              </w:rPr>
              <w:t xml:space="preserve">, </w:t>
            </w:r>
            <w:r>
              <w:rPr>
                <w:sz w:val="18"/>
                <w:rFonts w:ascii="Consolas" w:hAnsi="Consolas"/>
                <w:sz w:val="19"/>
                <w:color w:val="155E75"/>
              </w:rPr>
              <w:t xml:space="preserve">POST /orders/{orderNumber}/cancel</w:t>
            </w:r>
          </w:p>
        </w:tc>
        <w:tc>
          <w:tcPr>
            <w:tcW w:w="6670" w:type="dxa"/>
            <w:shd w:fill="FFFFFF"/>
            <w:vAlign w:val="top"/>
          </w:tcPr>
          <w:p>
            <w:pPr>
              <w:pStyle w:val="TableText"/>
            </w:pPr>
            <w:r>
              <w:rPr>
                <w:sz w:val="18"/>
              </w:rPr>
              <w:t xml:space="preserve">Authenticated customer's orders/cancellation.</w:t>
            </w:r>
          </w:p>
        </w:tc>
      </w:tr>
      <w:tr>
        <w:trPr>
          <w:cantSplit/>
        </w:trPr>
        <w:tc>
          <w:tcPr>
            <w:tcW w:w="3100" w:type="dxa"/>
            <w:shd w:fill="F0F5F9"/>
            <w:vAlign w:val="top"/>
          </w:tcPr>
          <w:p>
            <w:pPr>
              <w:pStyle w:val="TableText"/>
            </w:pPr>
            <w:r>
              <w:rPr>
                <w:sz w:val="18"/>
                <w:rFonts w:ascii="Consolas" w:hAnsi="Consolas"/>
                <w:sz w:val="19"/>
                <w:color w:val="155E75"/>
              </w:rPr>
              <w:t xml:space="preserve">GET /seller/shops/{shop}/products</w:t>
            </w:r>
            <w:r>
              <w:rPr>
                <w:sz w:val="18"/>
              </w:rPr>
              <w:t xml:space="preserve">, </w:t>
            </w:r>
            <w:r>
              <w:rPr>
                <w:sz w:val="18"/>
                <w:rFonts w:ascii="Consolas" w:hAnsi="Consolas"/>
                <w:sz w:val="19"/>
                <w:color w:val="155E75"/>
              </w:rPr>
              <w:t xml:space="preserve">PUT /seller/shops/{shop}/products/{product}</w:t>
            </w:r>
          </w:p>
        </w:tc>
        <w:tc>
          <w:tcPr>
            <w:tcW w:w="6670" w:type="dxa"/>
            <w:shd w:fill="F0F5F9"/>
            <w:vAlign w:val="top"/>
          </w:tcPr>
          <w:p>
            <w:pPr>
              <w:pStyle w:val="TableText"/>
            </w:pPr>
            <w:r>
              <w:rPr>
                <w:sz w:val="18"/>
              </w:rPr>
              <w:t xml:space="preserve">Active shop management membership and scoped product.</w:t>
            </w:r>
          </w:p>
        </w:tc>
      </w:tr>
      <w:tr>
        <w:trPr>
          <w:cantSplit/>
        </w:trPr>
        <w:tc>
          <w:tcPr>
            <w:tcW w:w="3100" w:type="dxa"/>
            <w:shd w:fill="FFFFFF"/>
            <w:vAlign w:val="top"/>
          </w:tcPr>
          <w:p>
            <w:pPr>
              <w:pStyle w:val="TableText"/>
            </w:pPr>
            <w:r>
              <w:rPr>
                <w:sz w:val="18"/>
                <w:rFonts w:ascii="Consolas" w:hAnsi="Consolas"/>
                <w:sz w:val="19"/>
                <w:color w:val="155E75"/>
              </w:rPr>
              <w:t xml:space="preserve">POST /seller/shops/{shop}/inventory/{inventory}/adjust</w:t>
            </w:r>
          </w:p>
        </w:tc>
        <w:tc>
          <w:tcPr>
            <w:tcW w:w="6670" w:type="dxa"/>
            <w:shd w:fill="FFFFFF"/>
            <w:vAlign w:val="top"/>
          </w:tcPr>
          <w:p>
            <w:pPr>
              <w:pStyle w:val="TableText"/>
            </w:pPr>
            <w:r>
              <w:rPr>
                <w:sz w:val="18"/>
              </w:rPr>
              <w:t xml:space="preserve">Scoped total-stock adjustment.</w:t>
            </w:r>
          </w:p>
        </w:tc>
      </w:tr>
      <w:tr>
        <w:trPr>
          <w:cantSplit/>
        </w:trPr>
        <w:tc>
          <w:tcPr>
            <w:tcW w:w="3100" w:type="dxa"/>
            <w:shd w:fill="F0F5F9"/>
            <w:vAlign w:val="top"/>
          </w:tcPr>
          <w:p>
            <w:pPr>
              <w:pStyle w:val="TableText"/>
            </w:pPr>
            <w:r>
              <w:rPr>
                <w:sz w:val="18"/>
                <w:rFonts w:ascii="Consolas" w:hAnsi="Consolas"/>
                <w:sz w:val="19"/>
                <w:color w:val="155E75"/>
              </w:rPr>
              <w:t xml:space="preserve">PUT /seller/shops/{shop}/orders/{shopOrder}/transition</w:t>
            </w:r>
          </w:p>
        </w:tc>
        <w:tc>
          <w:tcPr>
            <w:tcW w:w="6670" w:type="dxa"/>
            <w:shd w:fill="F0F5F9"/>
            <w:vAlign w:val="top"/>
          </w:tcPr>
          <w:p>
            <w:pPr>
              <w:pStyle w:val="TableText"/>
            </w:pPr>
            <w:r>
              <w:rPr>
                <w:sz w:val="18"/>
              </w:rPr>
              <w:t xml:space="preserve">Scoped seller fulfillment transition.</w:t>
            </w:r>
          </w:p>
        </w:tc>
      </w:tr>
      <w:tr>
        <w:trPr>
          <w:cantSplit/>
        </w:trPr>
        <w:tc>
          <w:tcPr>
            <w:tcW w:w="3100" w:type="dxa"/>
            <w:shd w:fill="FFFFFF"/>
            <w:vAlign w:val="top"/>
          </w:tcPr>
          <w:p>
            <w:pPr>
              <w:pStyle w:val="TableText"/>
            </w:pPr>
            <w:r>
              <w:rPr>
                <w:sz w:val="18"/>
                <w:rFonts w:ascii="Consolas" w:hAnsi="Consolas"/>
                <w:sz w:val="19"/>
                <w:color w:val="155E75"/>
              </w:rPr>
              <w:t xml:space="preserve">POST /returns</w:t>
            </w:r>
            <w:r>
              <w:rPr>
                <w:sz w:val="18"/>
              </w:rPr>
              <w:t xml:space="preserve">, </w:t>
            </w:r>
            <w:r>
              <w:rPr>
                <w:sz w:val="18"/>
                <w:rFonts w:ascii="Consolas" w:hAnsi="Consolas"/>
                <w:sz w:val="19"/>
                <w:color w:val="155E75"/>
              </w:rPr>
              <w:t xml:space="preserve">GET /support</w:t>
            </w:r>
          </w:p>
        </w:tc>
        <w:tc>
          <w:tcPr>
            <w:tcW w:w="6670" w:type="dxa"/>
            <w:shd w:fill="FFFFFF"/>
            <w:vAlign w:val="top"/>
          </w:tcPr>
          <w:p>
            <w:pPr>
              <w:pStyle w:val="TableText"/>
            </w:pPr>
            <w:r>
              <w:rPr>
                <w:sz w:val="18"/>
              </w:rPr>
              <w:t xml:space="preserve">Authenticated customer returns/private support inbox.</w:t>
            </w:r>
          </w:p>
        </w:tc>
      </w:tr>
      <w:tr>
        <w:trPr>
          <w:cantSplit/>
        </w:trPr>
        <w:tc>
          <w:tcPr>
            <w:tcW w:w="3100" w:type="dxa"/>
            <w:shd w:fill="F0F5F9"/>
            <w:vAlign w:val="top"/>
          </w:tcPr>
          <w:p>
            <w:pPr>
              <w:pStyle w:val="TableText"/>
            </w:pPr>
            <w:r>
              <w:rPr>
                <w:sz w:val="18"/>
                <w:rFonts w:ascii="Consolas" w:hAnsi="Consolas"/>
                <w:sz w:val="19"/>
                <w:color w:val="155E75"/>
              </w:rPr>
              <w:t xml:space="preserve">GET /admin/dashboard/overview</w:t>
            </w:r>
            <w:r>
              <w:rPr>
                <w:sz w:val="18"/>
              </w:rPr>
              <w:t xml:space="preserve">, </w:t>
            </w:r>
            <w:r>
              <w:rPr>
                <w:sz w:val="18"/>
                <w:rFonts w:ascii="Consolas" w:hAnsi="Consolas"/>
                <w:sz w:val="19"/>
                <w:color w:val="155E75"/>
              </w:rPr>
              <w:t xml:space="preserve">GET /admin/reports/orders.csv</w:t>
            </w:r>
          </w:p>
        </w:tc>
        <w:tc>
          <w:tcPr>
            <w:tcW w:w="6670" w:type="dxa"/>
            <w:shd w:fill="F0F5F9"/>
            <w:vAlign w:val="top"/>
          </w:tcPr>
          <w:p>
            <w:pPr>
              <w:pStyle w:val="TableText"/>
            </w:pPr>
            <w:r>
              <w:rPr>
                <w:sz w:val="18"/>
              </w:rPr>
              <w:t xml:space="preserve">Super-admin dashboard/report examples.</w:t>
            </w:r>
          </w:p>
        </w:tc>
      </w:tr>
    </w:tbl>
    <w:p>
      <w:pPr>
        <w:pStyle w:val="Normal"/>
        <w:spacing w:after="60"/>
      </w:pPr>
    </w:p>
    <w:p>
      <w:pPr>
        <w:pStyle w:val="Heading2"/>
      </w:pPr>
      <w:r>
        <w:rPr/>
        <w:t xml:space="preserve">Request examples and response handling</w:t>
      </w:r>
    </w:p>
    <w:p>
      <w:pPr>
        <w:pStyle w:val="Normal"/>
      </w:pPr>
      <w:r>
        <w:rPr/>
        <w:t xml:space="preserve">The following values are placeholders. IDs must refer to records in the current database; do not assume the seed starts at ID 1.</w:t>
      </w:r>
    </w:p>
    <w:p>
      <w:pPr>
        <w:pStyle w:val="CodeBlock"/>
        <w:keepNext/>
      </w:pPr>
      <w:r>
        <w:rPr>
          <w:rFonts w:ascii="Consolas" w:hAnsi="Consolas"/>
        </w:rPr>
        <w:t xml:space="preserve">POST /api/cart</w:t>
      </w:r>
    </w:p>
    <w:p>
      <w:pPr>
        <w:pStyle w:val="CodeBlock"/>
        <w:keepNext/>
      </w:pPr>
      <w:r>
        <w:rPr>
          <w:rFonts w:ascii="Consolas" w:hAnsi="Consolas"/>
        </w:rPr>
        <w:t xml:space="preserve">Authorization: Bearer &lt;token&gt;</w:t>
      </w:r>
    </w:p>
    <w:p>
      <w:pPr>
        <w:pStyle w:val="CodeBlock"/>
        <w:keepNext/>
      </w:pPr>
      <w:r>
        <w:rPr>
          <w:rFonts w:ascii="Consolas" w:hAnsi="Consolas"/>
        </w:rPr>
        <w:t xml:space="preserve">X-Session-Id: &lt;browser-session-id&gt;</w:t>
      </w:r>
    </w:p>
    <w:p>
      <w:pPr>
        <w:pStyle w:val="CodeBlock"/>
        <w:keepNext/>
      </w:pPr>
      <w:r>
        <w:rPr>
          <w:rFonts w:ascii="Consolas" w:hAnsi="Consolas"/>
        </w:rPr>
        <w:t xml:space="preserve"/>
      </w:r>
    </w:p>
    <w:p>
      <w:pPr>
        <w:pStyle w:val="CodeBlock"/>
      </w:pPr>
      <w:r>
        <w:rPr>
          <w:rFonts w:ascii="Consolas" w:hAnsi="Consolas"/>
        </w:rPr>
        <w:t xml:space="preserve">{"product_variant_id": 42, "quantity": 2}</w:t>
      </w:r>
    </w:p>
    <w:p>
      <w:pPr>
        <w:pStyle w:val="Normal"/>
        <w:spacing w:after="50"/>
      </w:pPr>
    </w:p>
    <w:p>
      <w:pPr>
        <w:pStyle w:val="CodeBlock"/>
        <w:keepNext/>
      </w:pPr>
      <w:r>
        <w:rPr>
          <w:rFonts w:ascii="Consolas" w:hAnsi="Consolas"/>
        </w:rPr>
        <w:t xml:space="preserve">POST /api/checkout</w:t>
      </w:r>
    </w:p>
    <w:p>
      <w:pPr>
        <w:pStyle w:val="CodeBlock"/>
        <w:keepNext/>
      </w:pPr>
      <w:r>
        <w:rPr>
          <w:rFonts w:ascii="Consolas" w:hAnsi="Consolas"/>
        </w:rPr>
        <w:t xml:space="preserve">Idempotency-Key: checkout-demo-001</w:t>
      </w:r>
    </w:p>
    <w:p>
      <w:pPr>
        <w:pStyle w:val="CodeBlock"/>
        <w:keepNext/>
      </w:pPr>
      <w:r>
        <w:rPr>
          <w:rFonts w:ascii="Consolas" w:hAnsi="Consolas"/>
        </w:rPr>
        <w:t xml:space="preserve"/>
      </w:r>
    </w:p>
    <w:p>
      <w:pPr>
        <w:pStyle w:val="CodeBlock"/>
        <w:keepNext/>
      </w:pPr>
      <w:r>
        <w:rPr>
          <w:rFonts w:ascii="Consolas" w:hAnsi="Consolas"/>
        </w:rPr>
        <w:t xml:space="preserve">{</w:t>
      </w:r>
    </w:p>
    <w:p>
      <w:pPr>
        <w:pStyle w:val="CodeBlock"/>
        <w:keepNext/>
      </w:pPr>
      <w:r>
        <w:rPr>
          <w:rFonts w:ascii="Consolas" w:hAnsi="Consolas"/>
        </w:rPr>
        <w:t xml:space="preserve">  "shipping_methods": {"7": 12, "9": 15},</w:t>
      </w:r>
    </w:p>
    <w:p>
      <w:pPr>
        <w:pStyle w:val="CodeBlock"/>
        <w:keepNext/>
      </w:pPr>
      <w:r>
        <w:rPr>
          <w:rFonts w:ascii="Consolas" w:hAnsi="Consolas"/>
        </w:rPr>
        <w:t xml:space="preserve">  "payment_method": "cod",</w:t>
      </w:r>
    </w:p>
    <w:p>
      <w:pPr>
        <w:pStyle w:val="CodeBlock"/>
        <w:keepNext/>
      </w:pPr>
      <w:r>
        <w:rPr>
          <w:rFonts w:ascii="Consolas" w:hAnsi="Consolas"/>
        </w:rPr>
        <w:t xml:space="preserve">  "address": {</w:t>
      </w:r>
    </w:p>
    <w:p>
      <w:pPr>
        <w:pStyle w:val="CodeBlock"/>
        <w:keepNext/>
      </w:pPr>
      <w:r>
        <w:rPr>
          <w:rFonts w:ascii="Consolas" w:hAnsi="Consolas"/>
        </w:rPr>
        <w:t xml:space="preserve">    "full_name": "Demo Buyer",</w:t>
      </w:r>
    </w:p>
    <w:p>
      <w:pPr>
        <w:pStyle w:val="CodeBlock"/>
        <w:keepNext/>
      </w:pPr>
      <w:r>
        <w:rPr>
          <w:rFonts w:ascii="Consolas" w:hAnsi="Consolas"/>
        </w:rPr>
        <w:t xml:space="preserve">    "address_line1": "Example Street",</w:t>
      </w:r>
    </w:p>
    <w:p>
      <w:pPr>
        <w:pStyle w:val="CodeBlock"/>
        <w:keepNext/>
      </w:pPr>
      <w:r>
        <w:rPr>
          <w:rFonts w:ascii="Consolas" w:hAnsi="Consolas"/>
        </w:rPr>
        <w:t xml:space="preserve">    "city": "Phnom Penh",</w:t>
      </w:r>
    </w:p>
    <w:p>
      <w:pPr>
        <w:pStyle w:val="CodeBlock"/>
        <w:keepNext/>
      </w:pPr>
      <w:r>
        <w:rPr>
          <w:rFonts w:ascii="Consolas" w:hAnsi="Consolas"/>
        </w:rPr>
        <w:t xml:space="preserve">    "state": "Phnom Penh",</w:t>
      </w:r>
    </w:p>
    <w:p>
      <w:pPr>
        <w:pStyle w:val="CodeBlock"/>
        <w:keepNext/>
      </w:pPr>
      <w:r>
        <w:rPr>
          <w:rFonts w:ascii="Consolas" w:hAnsi="Consolas"/>
        </w:rPr>
        <w:t xml:space="preserve">    "postal_code": "12000",</w:t>
      </w:r>
    </w:p>
    <w:p>
      <w:pPr>
        <w:pStyle w:val="CodeBlock"/>
        <w:keepNext/>
      </w:pPr>
      <w:r>
        <w:rPr>
          <w:rFonts w:ascii="Consolas" w:hAnsi="Consolas"/>
        </w:rPr>
        <w:t xml:space="preserve">    "country": "KH"</w:t>
      </w:r>
    </w:p>
    <w:p>
      <w:pPr>
        <w:pStyle w:val="CodeBlock"/>
        <w:keepNext/>
      </w:pPr>
      <w:r>
        <w:rPr>
          <w:rFonts w:ascii="Consolas" w:hAnsi="Consolas"/>
        </w:rPr>
        <w:t xml:space="preserve">  }</w:t>
      </w:r>
    </w:p>
    <w:p>
      <w:pPr>
        <w:pStyle w:val="CodeBlock"/>
      </w:pPr>
      <w:r>
        <w:rPr>
          <w:rFonts w:ascii="Consolas" w:hAnsi="Consolas"/>
        </w:rPr>
        <w:t xml:space="preserve">}</w:t>
      </w:r>
    </w:p>
    <w:p>
      <w:pPr>
        <w:pStyle w:val="Normal"/>
        <w:spacing w:after="50"/>
      </w:pPr>
    </w:p>
    <w:p>
      <w:pPr>
        <w:pStyle w:val="Normal"/>
      </w:pPr>
      <w:r>
        <w:rPr/>
        <w:t xml:space="preserve">Success generally wraps resources in </w:t>
      </w:r>
      <w:r>
        <w:rPr>
          <w:rFonts w:ascii="Consolas" w:hAnsi="Consolas"/>
          <w:sz w:val="19"/>
          <w:color w:val="155E75"/>
        </w:rPr>
        <w:t xml:space="preserve">data</w:t>
      </w:r>
      <w:r>
        <w:rPr/>
        <w:t xml:space="preserve">; list metadata varies by endpoint. Validation uses 422 with a message/errors map, missing authentication 401, forbidden access 403, missing/scoped records 404 and throttles 429. Never assume a 200 from a payment-status query means paid: read the returned payment/allocation states. Multipart seller updates use POST plus Laravel's </w:t>
      </w:r>
      <w:r>
        <w:rPr>
          <w:rFonts w:ascii="Consolas" w:hAnsi="Consolas"/>
          <w:sz w:val="19"/>
          <w:color w:val="155E75"/>
        </w:rPr>
        <w:t xml:space="preserve">_method=PUT</w:t>
      </w:r>
      <w:r>
        <w:rPr/>
        <w:t xml:space="preserve"> override because PHP parses uploaded files through POST.</w:t>
      </w:r>
    </w:p>
    <w:p>
      <w:pPr>
        <w:pStyle w:val="Heading1"/>
      </w:pPr>
      <w:bookmarkStart w:id="11" w:name="chapter_11"/>
      <w:r>
        <w:rPr/>
        <w:t xml:space="preserve">11. Local setup, environment and demo data</w:t>
      </w:r>
      <w:bookmarkEnd w:id="11"/>
    </w:p>
    <w:p>
      <w:pPr>
        <w:pStyle w:val="Heading2"/>
      </w:pPr>
      <w:r>
        <w:rPr/>
        <w:t xml:space="preserve">First-time setup</w:t>
      </w:r>
    </w:p>
    <w:p>
      <w:pPr>
        <w:pStyle w:val="Normal"/>
      </w:pPr>
      <w:r>
        <w:rPr/>
        <w:t xml:space="preserve">Use Docker Desktop/Engine with Compose. Run commands from the repository root. PHP, Composer and Node work stays in containers; teammates do not need host installations of those runtimes.</w:t>
      </w:r>
    </w:p>
    <w:p>
      <w:pPr>
        <w:pStyle w:val="CodeBlock"/>
        <w:keepNext/>
      </w:pPr>
      <w:r>
        <w:rPr>
          <w:rFonts w:ascii="Consolas" w:hAnsi="Consolas"/>
        </w:rPr>
        <w:t xml:space="preserve"># Copy once; preserve an existing backend/.env.</w:t>
      </w:r>
    </w:p>
    <w:p>
      <w:pPr>
        <w:pStyle w:val="CodeBlock"/>
        <w:keepNext/>
      </w:pPr>
      <w:r>
        <w:rPr>
          <w:rFonts w:ascii="Consolas" w:hAnsi="Consolas"/>
        </w:rPr>
        <w:t xml:space="preserve">if (-not (Test-Path backend/.env)) {</w:t>
      </w:r>
    </w:p>
    <w:p>
      <w:pPr>
        <w:pStyle w:val="CodeBlock"/>
        <w:keepNext/>
      </w:pPr>
      <w:r>
        <w:rPr>
          <w:rFonts w:ascii="Consolas" w:hAnsi="Consolas"/>
        </w:rPr>
        <w:t xml:space="preserve">    Copy-Item backend/.env.example backend/.env</w:t>
      </w:r>
    </w:p>
    <w:p>
      <w:pPr>
        <w:pStyle w:val="CodeBlock"/>
        <w:keepNext/>
      </w:pPr>
      <w:r>
        <w:rPr>
          <w:rFonts w:ascii="Consolas" w:hAnsi="Consolas"/>
        </w:rPr>
        <w:t xml:space="preserve">}</w:t>
      </w:r>
    </w:p>
    <w:p>
      <w:pPr>
        <w:pStyle w:val="CodeBlock"/>
        <w:keepNext/>
      </w:pPr>
      <w:r>
        <w:rPr>
          <w:rFonts w:ascii="Consolas" w:hAnsi="Consolas"/>
        </w:rPr>
        <w:t xml:space="preserve"/>
      </w:r>
    </w:p>
    <w:p>
      <w:pPr>
        <w:pStyle w:val="CodeBlock"/>
        <w:keepNext/>
      </w:pPr>
      <w:r>
        <w:rPr>
          <w:rFonts w:ascii="Consolas" w:hAnsi="Consolas"/>
        </w:rPr>
        <w:t xml:space="preserve">docker compose up -d --build</w:t>
      </w:r>
    </w:p>
    <w:p>
      <w:pPr>
        <w:pStyle w:val="CodeBlock"/>
        <w:keepNext/>
      </w:pPr>
      <w:r>
        <w:rPr>
          <w:rFonts w:ascii="Consolas" w:hAnsi="Consolas"/>
        </w:rPr>
        <w:t xml:space="preserve">docker compose exec app composer install</w:t>
      </w:r>
    </w:p>
    <w:p>
      <w:pPr>
        <w:pStyle w:val="CodeBlock"/>
        <w:keepNext/>
      </w:pPr>
      <w:r>
        <w:rPr>
          <w:rFonts w:ascii="Consolas" w:hAnsi="Consolas"/>
        </w:rPr>
        <w:t xml:space="preserve"/>
      </w:r>
    </w:p>
    <w:p>
      <w:pPr>
        <w:pStyle w:val="CodeBlock"/>
        <w:keepNext/>
      </w:pPr>
      <w:r>
        <w:rPr>
          <w:rFonts w:ascii="Consolas" w:hAnsi="Consolas"/>
        </w:rPr>
        <w:t xml:space="preserve"># First-time local key only; do not rotate an existing environment key.</w:t>
      </w:r>
    </w:p>
    <w:p>
      <w:pPr>
        <w:pStyle w:val="CodeBlock"/>
        <w:keepNext/>
      </w:pPr>
      <w:r>
        <w:rPr>
          <w:rFonts w:ascii="Consolas" w:hAnsi="Consolas"/>
        </w:rPr>
        <w:t xml:space="preserve">docker compose exec app php artisan key:generate</w:t>
      </w:r>
    </w:p>
    <w:p>
      <w:pPr>
        <w:pStyle w:val="CodeBlock"/>
        <w:keepNext/>
      </w:pPr>
      <w:r>
        <w:rPr>
          <w:rFonts w:ascii="Consolas" w:hAnsi="Consolas"/>
        </w:rPr>
        <w:t xml:space="preserve">docker compose exec app php artisan migrate</w:t>
      </w:r>
    </w:p>
    <w:p>
      <w:pPr>
        <w:pStyle w:val="CodeBlock"/>
        <w:keepNext/>
      </w:pPr>
      <w:r>
        <w:rPr>
          <w:rFonts w:ascii="Consolas" w:hAnsi="Consolas"/>
        </w:rPr>
        <w:t xml:space="preserve">docker compose exec app php artisan storage:link</w:t>
      </w:r>
    </w:p>
    <w:p>
      <w:pPr>
        <w:pStyle w:val="CodeBlock"/>
        <w:keepNext/>
      </w:pPr>
      <w:r>
        <w:rPr>
          <w:rFonts w:ascii="Consolas" w:hAnsi="Consolas"/>
        </w:rPr>
        <w:t xml:space="preserve">docker compose up -d worker scheduler</w:t>
      </w:r>
    </w:p>
    <w:p>
      <w:pPr>
        <w:pStyle w:val="CodeBlock"/>
      </w:pPr>
      <w:r>
        <w:rPr>
          <w:rFonts w:ascii="Consolas" w:hAnsi="Consolas"/>
        </w:rPr>
        <w:t xml:space="preserve">docker compose ps</w:t>
      </w:r>
    </w:p>
    <w:p>
      <w:pPr>
        <w:pStyle w:val="Normal"/>
        <w:spacing w:after="50"/>
      </w:pPr>
    </w:p>
    <w:p>
      <w:pPr>
        <w:pStyle w:val="Normal"/>
      </w:pPr>
      <w:r>
        <w:rPr/>
        <w:t xml:space="preserve">The frontend service installs packages and starts Vite automatically. Wait until its logs show readiness. Worker/scheduler may start before dependencies are installed on a brand-new volume; restart them after Composer completes if needed. Preserve application keys and existing data when working on a shared environment.</w:t>
      </w:r>
    </w:p>
    <w:tbl>
      <w:tblPr>
        <w:tblW w:w="9770" w:type="dxa"/>
        <w:tblLayout w:type="fixed"/>
        <w:tblCellMar>
          <w:top w:w="90" w:type="dxa"/>
          <w:left w:w="105" w:type="dxa"/>
          <w:bottom w:w="90" w:type="dxa"/>
          <w:right w:w="105" w:type="dxa"/>
        </w:tblCellMar>
        <w:tblBorders>
          <w:insideH w:val="single" w:sz="4" w:color="DCE5ED"/>
        </w:tblBorders>
      </w:tblPr>
      <w:tblGrid>
        <w:gridCol w:w="2300"/>
        <w:gridCol w:w="3050"/>
        <w:gridCol w:w="4420"/>
      </w:tblGrid>
      <w:tr>
        <w:trPr>
          <w:cantSplit/>
          <w:tblHeader/>
        </w:trPr>
        <w:tc>
          <w:tcPr>
            <w:tcW w:w="2300" w:type="dxa"/>
            <w:shd w:fill="16324F"/>
            <w:vAlign w:val="top"/>
          </w:tcPr>
          <w:p>
            <w:pPr>
              <w:pStyle w:val="TableText"/>
            </w:pPr>
            <w:r>
              <w:rPr>
                <w:sz w:val="18"/>
                <w:b/>
                <w:color w:val="FFFFFF"/>
              </w:rPr>
              <w:t xml:space="preserve">Service</w:t>
            </w:r>
          </w:p>
        </w:tc>
        <w:tc>
          <w:tcPr>
            <w:tcW w:w="3050" w:type="dxa"/>
            <w:shd w:fill="16324F"/>
            <w:vAlign w:val="top"/>
          </w:tcPr>
          <w:p>
            <w:pPr>
              <w:pStyle w:val="TableText"/>
            </w:pPr>
            <w:r>
              <w:rPr>
                <w:sz w:val="18"/>
                <w:b/>
                <w:color w:val="FFFFFF"/>
              </w:rPr>
              <w:t xml:space="preserve">Host address</w:t>
            </w:r>
          </w:p>
        </w:tc>
        <w:tc>
          <w:tcPr>
            <w:tcW w:w="4420" w:type="dxa"/>
            <w:shd w:fill="16324F"/>
            <w:vAlign w:val="top"/>
          </w:tcPr>
          <w:p>
            <w:pPr>
              <w:pStyle w:val="TableText"/>
            </w:pPr>
            <w:r>
              <w:rPr>
                <w:sz w:val="18"/>
                <w:b/>
                <w:color w:val="FFFFFF"/>
              </w:rPr>
              <w:t xml:space="preserve">Internal connection</w:t>
            </w:r>
          </w:p>
        </w:tc>
      </w:tr>
      <w:tr>
        <w:trPr>
          <w:cantSplit/>
        </w:trPr>
        <w:tc>
          <w:tcPr>
            <w:tcW w:w="2300" w:type="dxa"/>
            <w:shd w:fill="F0F5F9"/>
            <w:vAlign w:val="top"/>
          </w:tcPr>
          <w:p>
            <w:pPr>
              <w:pStyle w:val="TableText"/>
            </w:pPr>
            <w:r>
              <w:rPr>
                <w:sz w:val="18"/>
              </w:rPr>
              <w:t xml:space="preserve">Frontend</w:t>
            </w:r>
          </w:p>
        </w:tc>
        <w:tc>
          <w:tcPr>
            <w:tcW w:w="3050" w:type="dxa"/>
            <w:shd w:fill="F0F5F9"/>
            <w:vAlign w:val="top"/>
          </w:tcPr>
          <w:p>
            <w:pPr>
              <w:pStyle w:val="TableText"/>
            </w:pPr>
            <w:r>
              <w:rPr>
                <w:sz w:val="18"/>
                <w:rFonts w:ascii="Consolas" w:hAnsi="Consolas"/>
                <w:sz w:val="19"/>
                <w:color w:val="155E75"/>
              </w:rPr>
              <w:t xml:space="preserve">http://localhost:5174</w:t>
            </w:r>
          </w:p>
        </w:tc>
        <w:tc>
          <w:tcPr>
            <w:tcW w:w="4420" w:type="dxa"/>
            <w:shd w:fill="F0F5F9"/>
            <w:vAlign w:val="top"/>
          </w:tcPr>
          <w:p>
            <w:pPr>
              <w:pStyle w:val="TableText"/>
            </w:pPr>
            <w:r>
              <w:rPr>
                <w:sz w:val="18"/>
              </w:rPr>
              <w:t xml:space="preserve">Frontend listens on 5173.</w:t>
            </w:r>
          </w:p>
        </w:tc>
      </w:tr>
      <w:tr>
        <w:trPr>
          <w:cantSplit/>
        </w:trPr>
        <w:tc>
          <w:tcPr>
            <w:tcW w:w="2300" w:type="dxa"/>
            <w:shd w:fill="FFFFFF"/>
            <w:vAlign w:val="top"/>
          </w:tcPr>
          <w:p>
            <w:pPr>
              <w:pStyle w:val="TableText"/>
            </w:pPr>
            <w:r>
              <w:rPr>
                <w:sz w:val="18"/>
              </w:rPr>
              <w:t xml:space="preserve">API / Nginx</w:t>
            </w:r>
          </w:p>
        </w:tc>
        <w:tc>
          <w:tcPr>
            <w:tcW w:w="3050" w:type="dxa"/>
            <w:shd w:fill="FFFFFF"/>
            <w:vAlign w:val="top"/>
          </w:tcPr>
          <w:p>
            <w:pPr>
              <w:pStyle w:val="TableText"/>
            </w:pPr>
            <w:r>
              <w:rPr>
                <w:sz w:val="18"/>
                <w:rFonts w:ascii="Consolas" w:hAnsi="Consolas"/>
                <w:sz w:val="19"/>
                <w:color w:val="155E75"/>
              </w:rPr>
              <w:t xml:space="preserve">http://localhost:8000/api</w:t>
            </w:r>
          </w:p>
        </w:tc>
        <w:tc>
          <w:tcPr>
            <w:tcW w:w="4420" w:type="dxa"/>
            <w:shd w:fill="FFFFFF"/>
            <w:vAlign w:val="top"/>
          </w:tcPr>
          <w:p>
            <w:pPr>
              <w:pStyle w:val="TableText"/>
            </w:pPr>
            <w:r>
              <w:rPr>
                <w:sz w:val="18"/>
              </w:rPr>
              <w:t xml:space="preserve">Nginx forwards PHP to app.</w:t>
            </w:r>
          </w:p>
        </w:tc>
      </w:tr>
      <w:tr>
        <w:trPr>
          <w:cantSplit/>
        </w:trPr>
        <w:tc>
          <w:tcPr>
            <w:tcW w:w="2300" w:type="dxa"/>
            <w:shd w:fill="F0F5F9"/>
            <w:vAlign w:val="top"/>
          </w:tcPr>
          <w:p>
            <w:pPr>
              <w:pStyle w:val="TableText"/>
            </w:pPr>
            <w:r>
              <w:rPr>
                <w:sz w:val="18"/>
              </w:rPr>
              <w:t xml:space="preserve">phpMyAdmin</w:t>
            </w:r>
          </w:p>
        </w:tc>
        <w:tc>
          <w:tcPr>
            <w:tcW w:w="3050" w:type="dxa"/>
            <w:shd w:fill="F0F5F9"/>
            <w:vAlign w:val="top"/>
          </w:tcPr>
          <w:p>
            <w:pPr>
              <w:pStyle w:val="TableText"/>
            </w:pPr>
            <w:r>
              <w:rPr>
                <w:sz w:val="18"/>
                <w:rFonts w:ascii="Consolas" w:hAnsi="Consolas"/>
                <w:sz w:val="19"/>
                <w:color w:val="155E75"/>
              </w:rPr>
              <w:t xml:space="preserve">http://localhost:8080</w:t>
            </w:r>
          </w:p>
        </w:tc>
        <w:tc>
          <w:tcPr>
            <w:tcW w:w="4420" w:type="dxa"/>
            <w:shd w:fill="F0F5F9"/>
            <w:vAlign w:val="top"/>
          </w:tcPr>
          <w:p>
            <w:pPr>
              <w:pStyle w:val="TableText"/>
            </w:pPr>
            <w:r>
              <w:rPr>
                <w:sz w:val="18"/>
              </w:rPr>
              <w:t xml:space="preserve">Database administration for local development.</w:t>
            </w:r>
          </w:p>
        </w:tc>
      </w:tr>
      <w:tr>
        <w:trPr>
          <w:cantSplit/>
        </w:trPr>
        <w:tc>
          <w:tcPr>
            <w:tcW w:w="2300" w:type="dxa"/>
            <w:shd w:fill="FFFFFF"/>
            <w:vAlign w:val="top"/>
          </w:tcPr>
          <w:p>
            <w:pPr>
              <w:pStyle w:val="TableText"/>
            </w:pPr>
            <w:r>
              <w:rPr>
                <w:sz w:val="18"/>
              </w:rPr>
              <w:t xml:space="preserve">MySQL</w:t>
            </w:r>
          </w:p>
        </w:tc>
        <w:tc>
          <w:tcPr>
            <w:tcW w:w="3050" w:type="dxa"/>
            <w:shd w:fill="FFFFFF"/>
            <w:vAlign w:val="top"/>
          </w:tcPr>
          <w:p>
            <w:pPr>
              <w:pStyle w:val="TableText"/>
            </w:pPr>
            <w:r>
              <w:rPr>
                <w:sz w:val="18"/>
                <w:rFonts w:ascii="Consolas" w:hAnsi="Consolas"/>
                <w:sz w:val="19"/>
                <w:color w:val="155E75"/>
              </w:rPr>
              <w:t xml:space="preserve">localhost:3307</w:t>
            </w:r>
          </w:p>
        </w:tc>
        <w:tc>
          <w:tcPr>
            <w:tcW w:w="4420" w:type="dxa"/>
            <w:shd w:fill="FFFFFF"/>
            <w:vAlign w:val="top"/>
          </w:tcPr>
          <w:p>
            <w:pPr>
              <w:pStyle w:val="TableText"/>
            </w:pPr>
            <w:r>
              <w:rPr>
                <w:sz w:val="18"/>
              </w:rPr>
              <w:t xml:space="preserve">App uses host </w:t>
            </w:r>
            <w:r>
              <w:rPr>
                <w:sz w:val="18"/>
                <w:rFonts w:ascii="Consolas" w:hAnsi="Consolas"/>
                <w:sz w:val="19"/>
                <w:color w:val="155E75"/>
              </w:rPr>
              <w:t xml:space="preserve">mysql</w:t>
            </w:r>
            <w:r>
              <w:rPr>
                <w:sz w:val="18"/>
              </w:rPr>
              <w:t xml:space="preserve">, port 3306.</w:t>
            </w:r>
          </w:p>
        </w:tc>
      </w:tr>
      <w:tr>
        <w:trPr>
          <w:cantSplit/>
        </w:trPr>
        <w:tc>
          <w:tcPr>
            <w:tcW w:w="2300" w:type="dxa"/>
            <w:shd w:fill="F0F5F9"/>
            <w:vAlign w:val="top"/>
          </w:tcPr>
          <w:p>
            <w:pPr>
              <w:pStyle w:val="TableText"/>
            </w:pPr>
            <w:r>
              <w:rPr>
                <w:sz w:val="18"/>
              </w:rPr>
              <w:t xml:space="preserve">Redis</w:t>
            </w:r>
          </w:p>
        </w:tc>
        <w:tc>
          <w:tcPr>
            <w:tcW w:w="3050" w:type="dxa"/>
            <w:shd w:fill="F0F5F9"/>
            <w:vAlign w:val="top"/>
          </w:tcPr>
          <w:p>
            <w:pPr>
              <w:pStyle w:val="TableText"/>
            </w:pPr>
            <w:r>
              <w:rPr>
                <w:sz w:val="18"/>
                <w:rFonts w:ascii="Consolas" w:hAnsi="Consolas"/>
                <w:sz w:val="19"/>
                <w:color w:val="155E75"/>
              </w:rPr>
              <w:t xml:space="preserve">localhost:6379</w:t>
            </w:r>
          </w:p>
        </w:tc>
        <w:tc>
          <w:tcPr>
            <w:tcW w:w="4420" w:type="dxa"/>
            <w:shd w:fill="F0F5F9"/>
            <w:vAlign w:val="top"/>
          </w:tcPr>
          <w:p>
            <w:pPr>
              <w:pStyle w:val="TableText"/>
            </w:pPr>
            <w:r>
              <w:rPr>
                <w:sz w:val="18"/>
              </w:rPr>
              <w:t xml:space="preserve">App uses host </w:t>
            </w:r>
            <w:r>
              <w:rPr>
                <w:sz w:val="18"/>
                <w:rFonts w:ascii="Consolas" w:hAnsi="Consolas"/>
                <w:sz w:val="19"/>
                <w:color w:val="155E75"/>
              </w:rPr>
              <w:t xml:space="preserve">redis</w:t>
            </w:r>
            <w:r>
              <w:rPr>
                <w:sz w:val="18"/>
              </w:rPr>
              <w:t xml:space="preserve">.</w:t>
            </w:r>
          </w:p>
        </w:tc>
      </w:tr>
    </w:tbl>
    <w:p>
      <w:pPr>
        <w:pStyle w:val="Normal"/>
        <w:spacing w:after="60"/>
      </w:pPr>
    </w:p>
    <w:p>
      <w:pPr>
        <w:pStyle w:val="Heading2"/>
      </w:pPr>
      <w:r>
        <w:rPr/>
        <w:t xml:space="preserve">Configuration reference</w:t>
      </w:r>
    </w:p>
    <w:p>
      <w:pPr>
        <w:pStyle w:val="Normal"/>
      </w:pPr>
      <w:r>
        <w:rPr/>
        <w:t xml:space="preserve">Use the committed example environment files for defaults, then configure private values outside Git. Do not copy a teammate's production secrets into this document.</w:t>
      </w:r>
    </w:p>
    <w:tbl>
      <w:tblPr>
        <w:tblW w:w="9770" w:type="dxa"/>
        <w:tblLayout w:type="fixed"/>
        <w:tblCellMar>
          <w:top w:w="90" w:type="dxa"/>
          <w:left w:w="105" w:type="dxa"/>
          <w:bottom w:w="90" w:type="dxa"/>
          <w:right w:w="105" w:type="dxa"/>
        </w:tblCellMar>
        <w:tblBorders>
          <w:insideH w:val="single" w:sz="4" w:color="DCE5ED"/>
        </w:tblBorders>
      </w:tblPr>
      <w:tblGrid>
        <w:gridCol w:w="3100"/>
        <w:gridCol w:w="6670"/>
      </w:tblGrid>
      <w:tr>
        <w:trPr>
          <w:cantSplit/>
          <w:tblHeader/>
        </w:trPr>
        <w:tc>
          <w:tcPr>
            <w:tcW w:w="3100" w:type="dxa"/>
            <w:shd w:fill="16324F"/>
            <w:vAlign w:val="top"/>
          </w:tcPr>
          <w:p>
            <w:pPr>
              <w:pStyle w:val="TableText"/>
            </w:pPr>
            <w:r>
              <w:rPr>
                <w:sz w:val="18"/>
                <w:b/>
                <w:color w:val="FFFFFF"/>
              </w:rPr>
              <w:t xml:space="preserve">Keys</w:t>
            </w:r>
          </w:p>
        </w:tc>
        <w:tc>
          <w:tcPr>
            <w:tcW w:w="6670" w:type="dxa"/>
            <w:shd w:fill="16324F"/>
            <w:vAlign w:val="top"/>
          </w:tcPr>
          <w:p>
            <w:pPr>
              <w:pStyle w:val="TableText"/>
            </w:pPr>
            <w:r>
              <w:rPr>
                <w:sz w:val="18"/>
                <w:b/>
                <w:color w:val="FFFFFF"/>
              </w:rPr>
              <w:t xml:space="preserve">Purpose / important choice</w:t>
            </w:r>
          </w:p>
        </w:tc>
      </w:tr>
      <w:tr>
        <w:trPr>
          <w:cantSplit/>
        </w:trPr>
        <w:tc>
          <w:tcPr>
            <w:tcW w:w="3100" w:type="dxa"/>
            <w:shd w:fill="F0F5F9"/>
            <w:vAlign w:val="top"/>
          </w:tcPr>
          <w:p>
            <w:pPr>
              <w:pStyle w:val="TableText"/>
            </w:pPr>
            <w:r>
              <w:rPr>
                <w:sz w:val="18"/>
                <w:rFonts w:ascii="Consolas" w:hAnsi="Consolas"/>
                <w:sz w:val="19"/>
                <w:color w:val="155E75"/>
              </w:rPr>
              <w:t xml:space="preserve">APP_KEY</w:t>
            </w:r>
            <w:r>
              <w:rPr>
                <w:sz w:val="18"/>
              </w:rPr>
              <w:t xml:space="preserve">, </w:t>
            </w:r>
            <w:r>
              <w:rPr>
                <w:sz w:val="18"/>
                <w:rFonts w:ascii="Consolas" w:hAnsi="Consolas"/>
                <w:sz w:val="19"/>
                <w:color w:val="155E75"/>
              </w:rPr>
              <w:t xml:space="preserve">APP_ENV</w:t>
            </w:r>
            <w:r>
              <w:rPr>
                <w:sz w:val="18"/>
              </w:rPr>
              <w:t xml:space="preserve">, </w:t>
            </w:r>
            <w:r>
              <w:rPr>
                <w:sz w:val="18"/>
                <w:rFonts w:ascii="Consolas" w:hAnsi="Consolas"/>
                <w:sz w:val="19"/>
                <w:color w:val="155E75"/>
              </w:rPr>
              <w:t xml:space="preserve">APP_DEBUG</w:t>
            </w:r>
          </w:p>
        </w:tc>
        <w:tc>
          <w:tcPr>
            <w:tcW w:w="6670" w:type="dxa"/>
            <w:shd w:fill="F0F5F9"/>
            <w:vAlign w:val="top"/>
          </w:tcPr>
          <w:p>
            <w:pPr>
              <w:pStyle w:val="TableText"/>
            </w:pPr>
            <w:r>
              <w:rPr>
                <w:sz w:val="18"/>
              </w:rPr>
              <w:t xml:space="preserve">Stable encryption key and runtime mode; production debug must be false.</w:t>
            </w:r>
          </w:p>
        </w:tc>
      </w:tr>
      <w:tr>
        <w:trPr>
          <w:cantSplit/>
        </w:trPr>
        <w:tc>
          <w:tcPr>
            <w:tcW w:w="3100" w:type="dxa"/>
            <w:shd w:fill="FFFFFF"/>
            <w:vAlign w:val="top"/>
          </w:tcPr>
          <w:p>
            <w:pPr>
              <w:pStyle w:val="TableText"/>
            </w:pPr>
            <w:r>
              <w:rPr>
                <w:sz w:val="18"/>
                <w:rFonts w:ascii="Consolas" w:hAnsi="Consolas"/>
                <w:sz w:val="19"/>
                <w:color w:val="155E75"/>
              </w:rPr>
              <w:t xml:space="preserve">APP_URL</w:t>
            </w:r>
            <w:r>
              <w:rPr>
                <w:sz w:val="18"/>
              </w:rPr>
              <w:t xml:space="preserve">, </w:t>
            </w:r>
            <w:r>
              <w:rPr>
                <w:sz w:val="18"/>
                <w:rFonts w:ascii="Consolas" w:hAnsi="Consolas"/>
                <w:sz w:val="19"/>
                <w:color w:val="155E75"/>
              </w:rPr>
              <w:t xml:space="preserve">FRONTEND_URL</w:t>
            </w:r>
          </w:p>
        </w:tc>
        <w:tc>
          <w:tcPr>
            <w:tcW w:w="6670" w:type="dxa"/>
            <w:shd w:fill="FFFFFF"/>
            <w:vAlign w:val="top"/>
          </w:tcPr>
          <w:p>
            <w:pPr>
              <w:pStyle w:val="TableText"/>
            </w:pPr>
            <w:r>
              <w:rPr>
                <w:sz w:val="18"/>
              </w:rPr>
              <w:t xml:space="preserve">Backend-generated URLs and browser links; use correct local ports or the real HTTPS origin.</w:t>
            </w:r>
          </w:p>
        </w:tc>
      </w:tr>
      <w:tr>
        <w:trPr>
          <w:cantSplit/>
        </w:trPr>
        <w:tc>
          <w:tcPr>
            <w:tcW w:w="3100" w:type="dxa"/>
            <w:shd w:fill="F0F5F9"/>
            <w:vAlign w:val="top"/>
          </w:tcPr>
          <w:p>
            <w:pPr>
              <w:pStyle w:val="TableText"/>
            </w:pPr>
            <w:r>
              <w:rPr>
                <w:sz w:val="18"/>
                <w:rFonts w:ascii="Consolas" w:hAnsi="Consolas"/>
                <w:sz w:val="19"/>
                <w:color w:val="155E75"/>
              </w:rPr>
              <w:t xml:space="preserve">DB_CONNECTION</w:t>
            </w:r>
            <w:r>
              <w:rPr>
                <w:sz w:val="18"/>
              </w:rPr>
              <w:t xml:space="preserve">, </w:t>
            </w:r>
            <w:r>
              <w:rPr>
                <w:sz w:val="18"/>
                <w:rFonts w:ascii="Consolas" w:hAnsi="Consolas"/>
                <w:sz w:val="19"/>
                <w:color w:val="155E75"/>
              </w:rPr>
              <w:t xml:space="preserve">DB_HOST</w:t>
            </w:r>
            <w:r>
              <w:rPr>
                <w:sz w:val="18"/>
              </w:rPr>
              <w:t xml:space="preserve">, </w:t>
            </w:r>
            <w:r>
              <w:rPr>
                <w:sz w:val="18"/>
                <w:rFonts w:ascii="Consolas" w:hAnsi="Consolas"/>
                <w:sz w:val="19"/>
                <w:color w:val="155E75"/>
              </w:rPr>
              <w:t xml:space="preserve">DB_PORT</w:t>
            </w:r>
            <w:r>
              <w:rPr>
                <w:sz w:val="18"/>
              </w:rPr>
              <w:t xml:space="preserve">, </w:t>
            </w:r>
            <w:r>
              <w:rPr>
                <w:sz w:val="18"/>
                <w:rFonts w:ascii="Consolas" w:hAnsi="Consolas"/>
                <w:sz w:val="19"/>
                <w:color w:val="155E75"/>
              </w:rPr>
              <w:t xml:space="preserve">DB_DATABASE</w:t>
            </w:r>
            <w:r>
              <w:rPr>
                <w:sz w:val="18"/>
              </w:rPr>
              <w:t xml:space="preserve">, </w:t>
            </w:r>
            <w:r>
              <w:rPr>
                <w:sz w:val="18"/>
                <w:rFonts w:ascii="Consolas" w:hAnsi="Consolas"/>
                <w:sz w:val="19"/>
                <w:color w:val="155E75"/>
              </w:rPr>
              <w:t xml:space="preserve">DB_USERNAME</w:t>
            </w:r>
            <w:r>
              <w:rPr>
                <w:sz w:val="18"/>
              </w:rPr>
              <w:t xml:space="preserve">, </w:t>
            </w:r>
            <w:r>
              <w:rPr>
                <w:sz w:val="18"/>
                <w:rFonts w:ascii="Consolas" w:hAnsi="Consolas"/>
                <w:sz w:val="19"/>
                <w:color w:val="155E75"/>
              </w:rPr>
              <w:t xml:space="preserve">DB_PASSWORD</w:t>
            </w:r>
          </w:p>
        </w:tc>
        <w:tc>
          <w:tcPr>
            <w:tcW w:w="6670" w:type="dxa"/>
            <w:shd w:fill="F0F5F9"/>
            <w:vAlign w:val="top"/>
          </w:tcPr>
          <w:p>
            <w:pPr>
              <w:pStyle w:val="TableText"/>
            </w:pPr>
            <w:r>
              <w:rPr>
                <w:sz w:val="18"/>
              </w:rPr>
              <w:t xml:space="preserve">Local Docker uses MySQL at </w:t>
            </w:r>
            <w:r>
              <w:rPr>
                <w:sz w:val="18"/>
                <w:rFonts w:ascii="Consolas" w:hAnsi="Consolas"/>
                <w:sz w:val="19"/>
                <w:color w:val="155E75"/>
              </w:rPr>
              <w:t xml:space="preserve">mysql:3306</w:t>
            </w:r>
            <w:r>
              <w:rPr>
                <w:sz w:val="18"/>
              </w:rPr>
              <w:t xml:space="preserve">; keep credentials in private environment configuration.</w:t>
            </w:r>
          </w:p>
        </w:tc>
      </w:tr>
      <w:tr>
        <w:trPr>
          <w:cantSplit/>
        </w:trPr>
        <w:tc>
          <w:tcPr>
            <w:tcW w:w="3100" w:type="dxa"/>
            <w:shd w:fill="FFFFFF"/>
            <w:vAlign w:val="top"/>
          </w:tcPr>
          <w:p>
            <w:pPr>
              <w:pStyle w:val="TableText"/>
            </w:pPr>
            <w:r>
              <w:rPr>
                <w:sz w:val="18"/>
                <w:rFonts w:ascii="Consolas" w:hAnsi="Consolas"/>
                <w:sz w:val="19"/>
                <w:color w:val="155E75"/>
              </w:rPr>
              <w:t xml:space="preserve">REDIS_HOST</w:t>
            </w:r>
            <w:r>
              <w:rPr>
                <w:sz w:val="18"/>
              </w:rPr>
              <w:t xml:space="preserve">, </w:t>
            </w:r>
            <w:r>
              <w:rPr>
                <w:sz w:val="18"/>
                <w:rFonts w:ascii="Consolas" w:hAnsi="Consolas"/>
                <w:sz w:val="19"/>
                <w:color w:val="155E75"/>
              </w:rPr>
              <w:t xml:space="preserve">CACHE_STORE</w:t>
            </w:r>
            <w:r>
              <w:rPr>
                <w:sz w:val="18"/>
              </w:rPr>
              <w:t xml:space="preserve">, </w:t>
            </w:r>
            <w:r>
              <w:rPr>
                <w:sz w:val="18"/>
                <w:rFonts w:ascii="Consolas" w:hAnsi="Consolas"/>
                <w:sz w:val="19"/>
                <w:color w:val="155E75"/>
              </w:rPr>
              <w:t xml:space="preserve">SESSION_DRIVER</w:t>
            </w:r>
            <w:r>
              <w:rPr>
                <w:sz w:val="18"/>
              </w:rPr>
              <w:t xml:space="preserve">, </w:t>
            </w:r>
            <w:r>
              <w:rPr>
                <w:sz w:val="18"/>
                <w:rFonts w:ascii="Consolas" w:hAnsi="Consolas"/>
                <w:sz w:val="19"/>
                <w:color w:val="155E75"/>
              </w:rPr>
              <w:t xml:space="preserve">QUEUE_CONNECTION</w:t>
            </w:r>
          </w:p>
        </w:tc>
        <w:tc>
          <w:tcPr>
            <w:tcW w:w="6670" w:type="dxa"/>
            <w:shd w:fill="FFFFFF"/>
            <w:vAlign w:val="top"/>
          </w:tcPr>
          <w:p>
            <w:pPr>
              <w:pStyle w:val="TableText"/>
            </w:pPr>
            <w:r>
              <w:rPr>
                <w:sz w:val="18"/>
              </w:rPr>
              <w:t xml:space="preserve">Select actual storage drivers; production Compose selects Redis.</w:t>
            </w:r>
          </w:p>
        </w:tc>
      </w:tr>
      <w:tr>
        <w:trPr>
          <w:cantSplit/>
        </w:trPr>
        <w:tc>
          <w:tcPr>
            <w:tcW w:w="3100" w:type="dxa"/>
            <w:shd w:fill="F0F5F9"/>
            <w:vAlign w:val="top"/>
          </w:tcPr>
          <w:p>
            <w:pPr>
              <w:pStyle w:val="TableText"/>
            </w:pPr>
            <w:r>
              <w:rPr>
                <w:sz w:val="18"/>
                <w:rFonts w:ascii="Consolas" w:hAnsi="Consolas"/>
                <w:sz w:val="19"/>
                <w:color w:val="155E75"/>
              </w:rPr>
              <w:t xml:space="preserve">VITE_API_URL</w:t>
            </w:r>
            <w:r>
              <w:rPr>
                <w:sz w:val="18"/>
              </w:rPr>
              <w:t xml:space="preserve">, </w:t>
            </w:r>
            <w:r>
              <w:rPr>
                <w:sz w:val="18"/>
                <w:rFonts w:ascii="Consolas" w:hAnsi="Consolas"/>
                <w:sz w:val="19"/>
                <w:color w:val="155E75"/>
              </w:rPr>
              <w:t xml:space="preserve">VITE_PROXY_TARGET</w:t>
            </w:r>
            <w:r>
              <w:rPr>
                <w:sz w:val="18"/>
              </w:rPr>
              <w:t xml:space="preserve">, </w:t>
            </w:r>
            <w:r>
              <w:rPr>
                <w:sz w:val="18"/>
                <w:rFonts w:ascii="Consolas" w:hAnsi="Consolas"/>
                <w:sz w:val="19"/>
                <w:color w:val="155E75"/>
              </w:rPr>
              <w:t xml:space="preserve">VITE_USE_POLLING</w:t>
            </w:r>
          </w:p>
        </w:tc>
        <w:tc>
          <w:tcPr>
            <w:tcW w:w="6670" w:type="dxa"/>
            <w:shd w:fill="F0F5F9"/>
            <w:vAlign w:val="top"/>
          </w:tcPr>
          <w:p>
            <w:pPr>
              <w:pStyle w:val="TableText"/>
            </w:pPr>
            <w:r>
              <w:rPr>
                <w:sz w:val="18"/>
              </w:rPr>
              <w:t xml:space="preserve">Public browser API base; dev-container proxy destination; reliable Windows file watching. Vite variables are public.</w:t>
            </w:r>
          </w:p>
        </w:tc>
      </w:tr>
      <w:tr>
        <w:trPr>
          <w:cantSplit/>
        </w:trPr>
        <w:tc>
          <w:tcPr>
            <w:tcW w:w="3100" w:type="dxa"/>
            <w:shd w:fill="FFFFFF"/>
            <w:vAlign w:val="top"/>
          </w:tcPr>
          <w:p>
            <w:pPr>
              <w:pStyle w:val="TableText"/>
            </w:pPr>
            <w:r>
              <w:rPr>
                <w:sz w:val="18"/>
                <w:rFonts w:ascii="Consolas" w:hAnsi="Consolas"/>
                <w:sz w:val="19"/>
                <w:color w:val="155E75"/>
              </w:rPr>
              <w:t xml:space="preserve">PAYMENT_MODE</w:t>
            </w:r>
            <w:r>
              <w:rPr>
                <w:sz w:val="18"/>
              </w:rPr>
              <w:t xml:space="preserve">, </w:t>
            </w:r>
            <w:r>
              <w:rPr>
                <w:sz w:val="18"/>
                <w:rFonts w:ascii="Consolas" w:hAnsi="Consolas"/>
                <w:sz w:val="19"/>
                <w:color w:val="155E75"/>
              </w:rPr>
              <w:t xml:space="preserve">BAKONG_API_URL</w:t>
            </w:r>
            <w:r>
              <w:rPr>
                <w:sz w:val="18"/>
              </w:rPr>
              <w:t xml:space="preserve">, </w:t>
            </w:r>
            <w:r>
              <w:rPr>
                <w:sz w:val="18"/>
                <w:rFonts w:ascii="Consolas" w:hAnsi="Consolas"/>
                <w:sz w:val="19"/>
                <w:color w:val="155E75"/>
              </w:rPr>
              <w:t xml:space="preserve">BAKONG_API_TOKEN</w:t>
            </w:r>
          </w:p>
        </w:tc>
        <w:tc>
          <w:tcPr>
            <w:tcW w:w="6670" w:type="dxa"/>
            <w:shd w:fill="FFFFFF"/>
            <w:vAlign w:val="top"/>
          </w:tcPr>
          <w:p>
            <w:pPr>
              <w:pStyle w:val="TableText"/>
            </w:pPr>
            <w:r>
              <w:rPr>
                <w:sz w:val="18"/>
              </w:rPr>
              <w:t xml:space="preserve">Sandbox/production policy, bank endpoint and server-only credential. Never place the token in </w:t>
            </w:r>
            <w:r>
              <w:rPr>
                <w:sz w:val="18"/>
                <w:rFonts w:ascii="Consolas" w:hAnsi="Consolas"/>
                <w:sz w:val="19"/>
                <w:color w:val="155E75"/>
              </w:rPr>
              <w:t xml:space="preserve">VITE_*</w:t>
            </w:r>
            <w:r>
              <w:rPr>
                <w:sz w:val="18"/>
              </w:rPr>
              <w:t xml:space="preserve">.</w:t>
            </w:r>
          </w:p>
        </w:tc>
      </w:tr>
      <w:tr>
        <w:trPr>
          <w:cantSplit/>
        </w:trPr>
        <w:tc>
          <w:tcPr>
            <w:tcW w:w="3100" w:type="dxa"/>
            <w:shd w:fill="F0F5F9"/>
            <w:vAlign w:val="top"/>
          </w:tcPr>
          <w:p>
            <w:pPr>
              <w:pStyle w:val="TableText"/>
            </w:pPr>
            <w:r>
              <w:rPr>
                <w:sz w:val="18"/>
                <w:rFonts w:ascii="Consolas" w:hAnsi="Consolas"/>
                <w:sz w:val="19"/>
                <w:color w:val="155E75"/>
              </w:rPr>
              <w:t xml:space="preserve">ORDER_RESERVATION_MINUTES</w:t>
            </w:r>
            <w:r>
              <w:rPr>
                <w:sz w:val="18"/>
              </w:rPr>
              <w:t xml:space="preserve">, </w:t>
            </w:r>
            <w:r>
              <w:rPr>
                <w:sz w:val="18"/>
                <w:rFonts w:ascii="Consolas" w:hAnsi="Consolas"/>
                <w:sz w:val="19"/>
                <w:color w:val="155E75"/>
              </w:rPr>
              <w:t xml:space="preserve">ORDER_RETURN_DAYS</w:t>
            </w:r>
          </w:p>
        </w:tc>
        <w:tc>
          <w:tcPr>
            <w:tcW w:w="6670" w:type="dxa"/>
            <w:shd w:fill="F0F5F9"/>
            <w:vAlign w:val="top"/>
          </w:tcPr>
          <w:p>
            <w:pPr>
              <w:pStyle w:val="TableText"/>
            </w:pPr>
            <w:r>
              <w:rPr>
                <w:sz w:val="18"/>
              </w:rPr>
              <w:t xml:space="preserve">Reservation duration and delivered-item return window.</w:t>
            </w:r>
          </w:p>
        </w:tc>
      </w:tr>
      <w:tr>
        <w:trPr>
          <w:cantSplit/>
        </w:trPr>
        <w:tc>
          <w:tcPr>
            <w:tcW w:w="3100" w:type="dxa"/>
            <w:shd w:fill="FFFFFF"/>
            <w:vAlign w:val="top"/>
          </w:tcPr>
          <w:p>
            <w:pPr>
              <w:pStyle w:val="TableText"/>
            </w:pPr>
            <w:r>
              <w:rPr>
                <w:sz w:val="18"/>
                <w:rFonts w:ascii="Consolas" w:hAnsi="Consolas"/>
                <w:sz w:val="19"/>
                <w:color w:val="155E75"/>
              </w:rPr>
              <w:t xml:space="preserve">SANCTUM_TOKEN_EXPIRATION_MINUTES</w:t>
            </w:r>
          </w:p>
        </w:tc>
        <w:tc>
          <w:tcPr>
            <w:tcW w:w="6670" w:type="dxa"/>
            <w:shd w:fill="FFFFFF"/>
            <w:vAlign w:val="top"/>
          </w:tcPr>
          <w:p>
            <w:pPr>
              <w:pStyle w:val="TableText"/>
            </w:pPr>
            <w:r>
              <w:rPr>
                <w:sz w:val="18"/>
              </w:rPr>
              <w:t xml:space="preserve">Global token-age policy; production Compose defaults to 1,440 minutes.</w:t>
            </w:r>
          </w:p>
        </w:tc>
      </w:tr>
      <w:tr>
        <w:trPr>
          <w:cantSplit/>
        </w:trPr>
        <w:tc>
          <w:tcPr>
            <w:tcW w:w="3100" w:type="dxa"/>
            <w:shd w:fill="F0F5F9"/>
            <w:vAlign w:val="top"/>
          </w:tcPr>
          <w:p>
            <w:pPr>
              <w:pStyle w:val="TableText"/>
            </w:pPr>
            <w:r>
              <w:rPr>
                <w:sz w:val="18"/>
                <w:rFonts w:ascii="Consolas" w:hAnsi="Consolas"/>
                <w:sz w:val="19"/>
                <w:color w:val="155E75"/>
              </w:rPr>
              <w:t xml:space="preserve">MAIL_MAILER</w:t>
            </w:r>
            <w:r>
              <w:rPr>
                <w:sz w:val="18"/>
              </w:rPr>
              <w:t xml:space="preserve">, </w:t>
            </w:r>
            <w:r>
              <w:rPr>
                <w:sz w:val="18"/>
                <w:rFonts w:ascii="Consolas" w:hAnsi="Consolas"/>
                <w:sz w:val="19"/>
                <w:color w:val="155E75"/>
              </w:rPr>
              <w:t xml:space="preserve">MAIL_HOST</w:t>
            </w:r>
            <w:r>
              <w:rPr>
                <w:sz w:val="18"/>
              </w:rPr>
              <w:t xml:space="preserve">, </w:t>
            </w:r>
            <w:r>
              <w:rPr>
                <w:sz w:val="18"/>
                <w:rFonts w:ascii="Consolas" w:hAnsi="Consolas"/>
                <w:sz w:val="19"/>
                <w:color w:val="155E75"/>
              </w:rPr>
              <w:t xml:space="preserve">MAIL_PORT</w:t>
            </w:r>
            <w:r>
              <w:rPr>
                <w:sz w:val="18"/>
              </w:rPr>
              <w:t xml:space="preserve">, </w:t>
            </w:r>
            <w:r>
              <w:rPr>
                <w:sz w:val="18"/>
                <w:rFonts w:ascii="Consolas" w:hAnsi="Consolas"/>
                <w:sz w:val="19"/>
                <w:color w:val="155E75"/>
              </w:rPr>
              <w:t xml:space="preserve">MAIL_USERNAME</w:t>
            </w:r>
            <w:r>
              <w:rPr>
                <w:sz w:val="18"/>
              </w:rPr>
              <w:t xml:space="preserve">, </w:t>
            </w:r>
            <w:r>
              <w:rPr>
                <w:sz w:val="18"/>
                <w:rFonts w:ascii="Consolas" w:hAnsi="Consolas"/>
                <w:sz w:val="19"/>
                <w:color w:val="155E75"/>
              </w:rPr>
              <w:t xml:space="preserve">MAIL_PASSWORD</w:t>
            </w:r>
            <w:r>
              <w:rPr>
                <w:sz w:val="18"/>
              </w:rPr>
              <w:t xml:space="preserve">, </w:t>
            </w:r>
            <w:r>
              <w:rPr>
                <w:sz w:val="18"/>
                <w:rFonts w:ascii="Consolas" w:hAnsi="Consolas"/>
                <w:sz w:val="19"/>
                <w:color w:val="155E75"/>
              </w:rPr>
              <w:t xml:space="preserve">MAIL_FROM_ADDRESS</w:t>
            </w:r>
          </w:p>
        </w:tc>
        <w:tc>
          <w:tcPr>
            <w:tcW w:w="6670" w:type="dxa"/>
            <w:shd w:fill="F0F5F9"/>
            <w:vAlign w:val="top"/>
          </w:tcPr>
          <w:p>
            <w:pPr>
              <w:pStyle w:val="TableText"/>
            </w:pPr>
            <w:r>
              <w:rPr>
                <w:sz w:val="18"/>
              </w:rPr>
              <w:t xml:space="preserve">Transport and sender. Log mail is useful locally; real SMTP needs credentials/domain acceptance.</w:t>
            </w:r>
          </w:p>
        </w:tc>
      </w:tr>
    </w:tbl>
    <w:p>
      <w:pPr>
        <w:pStyle w:val="Normal"/>
        <w:spacing w:after="60"/>
      </w:pPr>
    </w:p>
    <w:p>
      <w:pPr>
        <w:pStyle w:val="Heading2"/>
      </w:pPr>
      <w:r>
        <w:rPr/>
        <w:t xml:space="preserve">Demo seed behavior</w:t>
      </w:r>
    </w:p>
    <w:p>
      <w:pPr>
        <w:pStyle w:val="Normal"/>
      </w:pPr>
      <w:r>
        <w:rPr>
          <w:b/>
        </w:rPr>
        <w:t xml:space="preserve">Data-replacing operation:</w:t>
      </w:r>
      <w:r>
        <w:rPr/>
        <w:t xml:space="preserve"> </w:t>
      </w:r>
      <w:r>
        <w:rPr>
          <w:rFonts w:ascii="Consolas" w:hAnsi="Consolas"/>
          <w:sz w:val="19"/>
          <w:color w:val="155E75"/>
        </w:rPr>
        <w:t xml:space="preserve">docker compose exec app php artisan db:seed</w:t>
      </w:r>
      <w:r>
        <w:rPr/>
        <w:t xml:space="preserve"> deletes existing business records and login/reset/session records before rebuilding the demo dataset. Use only an intended disposable local database. Back up anything needed first. It is not an additive sample-data command.</w:t>
      </w:r>
    </w:p>
    <w:p>
      <w:pPr>
        <w:pStyle w:val="Normal"/>
      </w:pPr>
      <w:r>
        <w:rPr/>
        <w:t xml:space="preserve">The seed creates 20 records in each of 37 business tables, with related orders, inventory, reviews, returns, support and settings. IDs are not reset. The cleanup/seed transaction keeps foreign keys enabled and restores prior records if the seed fails. Historical bank fixtures do not contact Bakong and are not real bank proof.</w:t>
      </w:r>
    </w:p>
    <w:tbl>
      <w:tblPr>
        <w:tblW w:w="9770" w:type="dxa"/>
        <w:tblLayout w:type="fixed"/>
        <w:tblCellMar>
          <w:top w:w="90" w:type="dxa"/>
          <w:left w:w="105" w:type="dxa"/>
          <w:bottom w:w="90" w:type="dxa"/>
          <w:right w:w="105" w:type="dxa"/>
        </w:tblCellMar>
        <w:tblBorders>
          <w:insideH w:val="single" w:sz="4" w:color="DCE5ED"/>
        </w:tblBorders>
      </w:tblPr>
      <w:tblGrid>
        <w:gridCol w:w="2300"/>
        <w:gridCol w:w="3050"/>
        <w:gridCol w:w="4420"/>
      </w:tblGrid>
      <w:tr>
        <w:trPr>
          <w:cantSplit/>
          <w:tblHeader/>
        </w:trPr>
        <w:tc>
          <w:tcPr>
            <w:tcW w:w="2300" w:type="dxa"/>
            <w:shd w:fill="16324F"/>
            <w:vAlign w:val="top"/>
          </w:tcPr>
          <w:p>
            <w:pPr>
              <w:pStyle w:val="TableText"/>
            </w:pPr>
            <w:r>
              <w:rPr>
                <w:sz w:val="18"/>
                <w:b/>
                <w:color w:val="FFFFFF"/>
              </w:rPr>
              <w:t xml:space="preserve">Local demo identity</w:t>
            </w:r>
          </w:p>
        </w:tc>
        <w:tc>
          <w:tcPr>
            <w:tcW w:w="3050" w:type="dxa"/>
            <w:shd w:fill="16324F"/>
            <w:vAlign w:val="top"/>
          </w:tcPr>
          <w:p>
            <w:pPr>
              <w:pStyle w:val="TableText"/>
            </w:pPr>
            <w:r>
              <w:rPr>
                <w:sz w:val="18"/>
                <w:b/>
                <w:color w:val="FFFFFF"/>
              </w:rPr>
              <w:t xml:space="preserve">Email</w:t>
            </w:r>
          </w:p>
        </w:tc>
        <w:tc>
          <w:tcPr>
            <w:tcW w:w="4420" w:type="dxa"/>
            <w:shd w:fill="16324F"/>
            <w:vAlign w:val="top"/>
          </w:tcPr>
          <w:p>
            <w:pPr>
              <w:pStyle w:val="TableText"/>
            </w:pPr>
            <w:r>
              <w:rPr>
                <w:sz w:val="18"/>
                <w:b/>
                <w:color w:val="FFFFFF"/>
              </w:rPr>
              <w:t xml:space="preserve">Demo password</w:t>
            </w:r>
          </w:p>
        </w:tc>
      </w:tr>
      <w:tr>
        <w:trPr>
          <w:cantSplit/>
        </w:trPr>
        <w:tc>
          <w:tcPr>
            <w:tcW w:w="2300" w:type="dxa"/>
            <w:shd w:fill="F0F5F9"/>
            <w:vAlign w:val="top"/>
          </w:tcPr>
          <w:p>
            <w:pPr>
              <w:pStyle w:val="TableText"/>
            </w:pPr>
            <w:r>
              <w:rPr>
                <w:sz w:val="18"/>
              </w:rPr>
              <w:t xml:space="preserve">Super administrator</w:t>
            </w:r>
          </w:p>
        </w:tc>
        <w:tc>
          <w:tcPr>
            <w:tcW w:w="3050" w:type="dxa"/>
            <w:shd w:fill="F0F5F9"/>
            <w:vAlign w:val="top"/>
          </w:tcPr>
          <w:p>
            <w:pPr>
              <w:pStyle w:val="TableText"/>
            </w:pPr>
            <w:r>
              <w:rPr>
                <w:sz w:val="18"/>
                <w:rFonts w:ascii="Consolas" w:hAnsi="Consolas"/>
                <w:sz w:val="19"/>
                <w:color w:val="155E75"/>
              </w:rPr>
              <w:t xml:space="preserve">admin@ekhmer.com</w:t>
            </w:r>
          </w:p>
        </w:tc>
        <w:tc>
          <w:tcPr>
            <w:tcW w:w="4420" w:type="dxa"/>
            <w:shd w:fill="F0F5F9"/>
            <w:vAlign w:val="top"/>
          </w:tcPr>
          <w:p>
            <w:pPr>
              <w:pStyle w:val="TableText"/>
            </w:pPr>
            <w:r>
              <w:rPr>
                <w:sz w:val="18"/>
                <w:rFonts w:ascii="Consolas" w:hAnsi="Consolas"/>
                <w:sz w:val="19"/>
                <w:color w:val="155E75"/>
              </w:rPr>
              <w:t xml:space="preserve">password</w:t>
            </w:r>
          </w:p>
        </w:tc>
      </w:tr>
      <w:tr>
        <w:trPr>
          <w:cantSplit/>
        </w:trPr>
        <w:tc>
          <w:tcPr>
            <w:tcW w:w="2300" w:type="dxa"/>
            <w:shd w:fill="FFFFFF"/>
            <w:vAlign w:val="top"/>
          </w:tcPr>
          <w:p>
            <w:pPr>
              <w:pStyle w:val="TableText"/>
            </w:pPr>
            <w:r>
              <w:rPr>
                <w:sz w:val="18"/>
              </w:rPr>
              <w:t xml:space="preserve">Customer</w:t>
            </w:r>
          </w:p>
        </w:tc>
        <w:tc>
          <w:tcPr>
            <w:tcW w:w="3050" w:type="dxa"/>
            <w:shd w:fill="FFFFFF"/>
            <w:vAlign w:val="top"/>
          </w:tcPr>
          <w:p>
            <w:pPr>
              <w:pStyle w:val="TableText"/>
            </w:pPr>
            <w:r>
              <w:rPr>
                <w:sz w:val="18"/>
                <w:rFonts w:ascii="Consolas" w:hAnsi="Consolas"/>
                <w:sz w:val="19"/>
                <w:color w:val="155E75"/>
              </w:rPr>
              <w:t xml:space="preserve">customer@ekhmer.com</w:t>
            </w:r>
          </w:p>
        </w:tc>
        <w:tc>
          <w:tcPr>
            <w:tcW w:w="4420" w:type="dxa"/>
            <w:shd w:fill="FFFFFF"/>
            <w:vAlign w:val="top"/>
          </w:tcPr>
          <w:p>
            <w:pPr>
              <w:pStyle w:val="TableText"/>
            </w:pPr>
            <w:r>
              <w:rPr>
                <w:sz w:val="18"/>
                <w:rFonts w:ascii="Consolas" w:hAnsi="Consolas"/>
                <w:sz w:val="19"/>
                <w:color w:val="155E75"/>
              </w:rPr>
              <w:t xml:space="preserve">password</w:t>
            </w:r>
          </w:p>
        </w:tc>
      </w:tr>
      <w:tr>
        <w:trPr>
          <w:cantSplit/>
        </w:trPr>
        <w:tc>
          <w:tcPr>
            <w:tcW w:w="2300" w:type="dxa"/>
            <w:shd w:fill="F0F5F9"/>
            <w:vAlign w:val="top"/>
          </w:tcPr>
          <w:p>
            <w:pPr>
              <w:pStyle w:val="TableText"/>
            </w:pPr>
            <w:r>
              <w:rPr>
                <w:sz w:val="18"/>
              </w:rPr>
              <w:t xml:space="preserve">Seller member</w:t>
            </w:r>
          </w:p>
        </w:tc>
        <w:tc>
          <w:tcPr>
            <w:tcW w:w="3050" w:type="dxa"/>
            <w:shd w:fill="F0F5F9"/>
            <w:vAlign w:val="top"/>
          </w:tcPr>
          <w:p>
            <w:pPr>
              <w:pStyle w:val="TableText"/>
            </w:pPr>
            <w:r>
              <w:rPr>
                <w:sz w:val="18"/>
                <w:rFonts w:ascii="Consolas" w:hAnsi="Consolas"/>
                <w:sz w:val="19"/>
                <w:color w:val="155E75"/>
              </w:rPr>
              <w:t xml:space="preserve">seller@ekhmer.com</w:t>
            </w:r>
          </w:p>
        </w:tc>
        <w:tc>
          <w:tcPr>
            <w:tcW w:w="4420" w:type="dxa"/>
            <w:shd w:fill="F0F5F9"/>
            <w:vAlign w:val="top"/>
          </w:tcPr>
          <w:p>
            <w:pPr>
              <w:pStyle w:val="TableText"/>
            </w:pPr>
            <w:r>
              <w:rPr>
                <w:sz w:val="18"/>
                <w:rFonts w:ascii="Consolas" w:hAnsi="Consolas"/>
                <w:sz w:val="19"/>
                <w:color w:val="155E75"/>
              </w:rPr>
              <w:t xml:space="preserve">password</w:t>
            </w:r>
          </w:p>
        </w:tc>
      </w:tr>
    </w:tbl>
    <w:p>
      <w:pPr>
        <w:pStyle w:val="Normal"/>
        <w:spacing w:after="60"/>
      </w:pPr>
    </w:p>
    <w:p>
      <w:pPr>
        <w:pStyle w:val="Normal"/>
      </w:pPr>
      <w:r>
        <w:rPr/>
        <w:t xml:space="preserve">These credentials are published development fixtures, never production accounts. Other generated customer addresses range from </w:t>
      </w:r>
      <w:r>
        <w:rPr>
          <w:rFonts w:ascii="Consolas" w:hAnsi="Consolas"/>
          <w:sz w:val="19"/>
          <w:color w:val="155E75"/>
        </w:rPr>
        <w:t xml:space="preserve">customer4@ekhmer.com</w:t>
      </w:r>
      <w:r>
        <w:rPr/>
        <w:t xml:space="preserve"> to </w:t>
      </w:r>
      <w:r>
        <w:rPr>
          <w:rFonts w:ascii="Consolas" w:hAnsi="Consolas"/>
          <w:sz w:val="19"/>
          <w:color w:val="155E75"/>
        </w:rPr>
        <w:t xml:space="preserve">customer20@ekhmer.com</w:t>
      </w:r>
      <w:r>
        <w:rPr/>
        <w:t xml:space="preserve">.</w:t>
      </w:r>
    </w:p>
    <w:p>
      <w:pPr>
        <w:pStyle w:val="Normal"/>
      </w:pPr>
      <w:r>
        <w:rPr/>
        <w:t xml:space="preserve">Do not use </w:t>
      </w:r>
      <w:r>
        <w:rPr>
          <w:rFonts w:ascii="Consolas" w:hAnsi="Consolas"/>
          <w:sz w:val="19"/>
          <w:color w:val="155E75"/>
        </w:rPr>
        <w:t xml:space="preserve">migrate:fresh --seed</w:t>
      </w:r>
      <w:r>
        <w:rPr/>
        <w:t xml:space="preserve"> on retained data: it drops tables. </w:t>
      </w:r>
      <w:r>
        <w:rPr>
          <w:rFonts w:ascii="Consolas" w:hAnsi="Consolas"/>
          <w:sz w:val="19"/>
          <w:color w:val="155E75"/>
        </w:rPr>
        <w:t xml:space="preserve">docker compose down -v</w:t>
      </w:r>
      <w:r>
        <w:rPr/>
        <w:t xml:space="preserve"> deletes volumes, including the database and container-managed dependency volumes. Neither is a routine fix for a missing package or stale UI.</w:t>
      </w:r>
    </w:p>
    <w:p>
      <w:pPr>
        <w:pStyle w:val="Heading1"/>
      </w:pPr>
      <w:bookmarkStart w:id="12" w:name="chapter_12"/>
      <w:r>
        <w:rPr/>
        <w:t xml:space="preserve">12. How teammates should continue development</w:t>
      </w:r>
      <w:bookmarkEnd w:id="12"/>
    </w:p>
    <w:p>
      <w:pPr>
        <w:pStyle w:val="Heading2"/>
      </w:pPr>
      <w:r>
        <w:rPr/>
        <w:t xml:space="preserve">A backend change</w:t>
      </w:r>
    </w:p>
    <w:p>
      <w:pPr>
        <w:pStyle w:val="Normal"/>
      </w:pPr>
      <w:r>
        <w:rPr/>
        <w:t xml:space="preserve">Start with the relevant route and Form Request. Put complex rules in an existing service or a narrowly scoped new service. Use policies/middleware for ownership, Eloquent for data access, transactions/locks for shared money-stock state and API Resources for serialization. Add a migration for schema changes, update factories/seeders and cover meaningful behavior with an appropriate regression.</w:t>
      </w:r>
    </w:p>
    <w:p>
      <w:pPr>
        <w:pStyle w:val="Normal"/>
      </w:pPr>
      <w:r>
        <w:rPr/>
        <w:t xml:space="preserve">Example: adding a product option field affects request validation, variant persistence, private/public resources, seller types, form serialization and edit loading. If it changes stock, call the inventory service rather than directly assigning database quantities.</w:t>
      </w:r>
    </w:p>
    <w:p>
      <w:pPr>
        <w:pStyle w:val="CodeBlock"/>
        <w:keepNext/>
      </w:pPr>
      <w:r>
        <w:rPr>
          <w:rFonts w:ascii="Consolas" w:hAnsi="Consolas"/>
        </w:rPr>
        <w:t xml:space="preserve">route -&gt; request -&gt; policy/context -&gt; controller -&gt; service/model</w:t>
      </w:r>
    </w:p>
    <w:p>
      <w:pPr>
        <w:pStyle w:val="CodeBlock"/>
        <w:keepNext/>
      </w:pPr>
      <w:r>
        <w:rPr>
          <w:rFonts w:ascii="Consolas" w:hAnsi="Consolas"/>
        </w:rPr>
        <w:t xml:space="preserve">      -&gt; resource -&gt; typed API wrapper -&gt; Vue form/view</w:t>
      </w:r>
    </w:p>
    <w:p>
      <w:pPr>
        <w:pStyle w:val="CodeBlock"/>
      </w:pPr>
      <w:r>
        <w:rPr>
          <w:rFonts w:ascii="Consolas" w:hAnsi="Consolas"/>
        </w:rPr>
        <w:t xml:space="preserve">      -&gt; regression coverage -&gt; documentation</w:t>
      </w:r>
    </w:p>
    <w:p>
      <w:pPr>
        <w:pStyle w:val="Normal"/>
        <w:spacing w:after="50"/>
      </w:pPr>
    </w:p>
    <w:p>
      <w:pPr>
        <w:pStyle w:val="Heading2"/>
      </w:pPr>
      <w:r>
        <w:rPr/>
        <w:t xml:space="preserve">A frontend change</w:t>
      </w:r>
    </w:p>
    <w:p>
      <w:pPr>
        <w:pStyle w:val="Normal"/>
      </w:pPr>
      <w:r>
        <w:rPr/>
        <w:t xml:space="preserve">Use Vue Composition API with </w:t>
      </w:r>
      <w:r>
        <w:rPr>
          <w:rFonts w:ascii="Consolas" w:hAnsi="Consolas"/>
          <w:sz w:val="19"/>
          <w:color w:val="155E75"/>
        </w:rPr>
        <w:t xml:space="preserve">&lt;script setup lang="ts"&gt;</w:t>
      </w:r>
      <w:r>
        <w:rPr/>
        <w:t xml:space="preserve">, typed props/emits and typed API contracts. Reuse the shared Axios client and existing layouts/components. Keep global state in Pinia only when shared ownership/lifetime requires it. Handle loading, empty, failure and permission states, and add English/Khmer messages. Check desktop width, small-screen overflow and keyboard access.</w:t>
      </w:r>
    </w:p>
    <w:p>
      <w:pPr>
        <w:pStyle w:val="Normal"/>
      </w:pPr>
      <w:r>
        <w:rPr/>
        <w:t xml:space="preserve">The installed styling is Tailwind. Root guidelines still mention Bootstrap, so keep that inconsistency explicit and settle it as a team before introducing a second styling framework. Avoid mixing dependencies as a side effect of an unrelated feature.</w:t>
      </w:r>
    </w:p>
    <w:p>
      <w:pPr>
        <w:pStyle w:val="Heading2"/>
      </w:pPr>
      <w:r>
        <w:rPr/>
        <w:t xml:space="preserve">Review habits</w:t>
      </w:r>
    </w:p>
    <w:p>
      <w:pPr>
        <w:pStyle w:val="Normal"/>
      </w:pPr>
      <w:r>
        <w:rPr/>
        <w:t xml:space="preserve">Use conventional commits such as </w:t>
      </w:r>
      <w:r>
        <w:rPr>
          <w:rFonts w:ascii="Consolas" w:hAnsi="Consolas"/>
          <w:sz w:val="19"/>
          <w:color w:val="155E75"/>
        </w:rPr>
        <w:t xml:space="preserve">feat:</w:t>
      </w:r>
      <w:r>
        <w:rPr/>
        <w:t xml:space="preserve">, </w:t>
      </w:r>
      <w:r>
        <w:rPr>
          <w:rFonts w:ascii="Consolas" w:hAnsi="Consolas"/>
          <w:sz w:val="19"/>
          <w:color w:val="155E75"/>
        </w:rPr>
        <w:t xml:space="preserve">fix:</w:t>
      </w:r>
      <w:r>
        <w:rPr/>
        <w:t xml:space="preserve">, </w:t>
      </w:r>
      <w:r>
        <w:rPr>
          <w:rFonts w:ascii="Consolas" w:hAnsi="Consolas"/>
          <w:sz w:val="19"/>
          <w:color w:val="155E75"/>
        </w:rPr>
        <w:t xml:space="preserve">docs:</w:t>
      </w:r>
      <w:r>
        <w:rPr/>
        <w:t xml:space="preserve"> and </w:t>
      </w:r>
      <w:r>
        <w:rPr>
          <w:rFonts w:ascii="Consolas" w:hAnsi="Consolas"/>
          <w:sz w:val="19"/>
          <w:color w:val="155E75"/>
        </w:rPr>
        <w:t xml:space="preserve">test:</w:t>
      </w:r>
      <w:r>
        <w:rPr/>
        <w:t xml:space="preserve"> on an appropriate feature branch. Review both successful and invalid inputs, cross-shop access, stale requests, partial payments and expiry. Include what changed, why, how it was verified and remaining limits in the PR. Updating the UI alone is insufficient for a new authorization or financial rule.</w:t>
      </w:r>
    </w:p>
    <w:p>
      <w:pPr>
        <w:pStyle w:val="Heading1"/>
      </w:pPr>
      <w:bookmarkStart w:id="13" w:name="chapter_13"/>
      <w:r>
        <w:rPr/>
        <w:t xml:space="preserve">13. Testing, quality evidence and coverage limits</w:t>
      </w:r>
      <w:bookmarkEnd w:id="13"/>
    </w:p>
    <w:p>
      <w:pPr>
        <w:pStyle w:val="Normal"/>
      </w:pPr>
      <w:r>
        <w:rPr/>
        <w:t xml:space="preserve">The following results are from the earlier 19 October QA run against this baseline. They were not repeated during this document export.</w:t>
      </w:r>
    </w:p>
    <w:tbl>
      <w:tblPr>
        <w:tblW w:w="9770" w:type="dxa"/>
        <w:tblLayout w:type="fixed"/>
        <w:tblCellMar>
          <w:top w:w="90" w:type="dxa"/>
          <w:left w:w="105" w:type="dxa"/>
          <w:bottom w:w="90" w:type="dxa"/>
          <w:right w:w="105" w:type="dxa"/>
        </w:tblCellMar>
        <w:tblBorders>
          <w:insideH w:val="single" w:sz="4" w:color="DCE5ED"/>
        </w:tblBorders>
      </w:tblPr>
      <w:tblGrid>
        <w:gridCol w:w="2300"/>
        <w:gridCol w:w="3050"/>
        <w:gridCol w:w="4420"/>
      </w:tblGrid>
      <w:tr>
        <w:trPr>
          <w:cantSplit/>
          <w:tblHeader/>
        </w:trPr>
        <w:tc>
          <w:tcPr>
            <w:tcW w:w="2300" w:type="dxa"/>
            <w:shd w:fill="16324F"/>
            <w:vAlign w:val="top"/>
          </w:tcPr>
          <w:p>
            <w:pPr>
              <w:pStyle w:val="TableText"/>
            </w:pPr>
            <w:r>
              <w:rPr>
                <w:sz w:val="18"/>
                <w:b/>
                <w:color w:val="FFFFFF"/>
              </w:rPr>
              <w:t xml:space="preserve">Check</w:t>
            </w:r>
          </w:p>
        </w:tc>
        <w:tc>
          <w:tcPr>
            <w:tcW w:w="3050" w:type="dxa"/>
            <w:shd w:fill="16324F"/>
            <w:vAlign w:val="top"/>
          </w:tcPr>
          <w:p>
            <w:pPr>
              <w:pStyle w:val="TableText"/>
            </w:pPr>
            <w:r>
              <w:rPr>
                <w:sz w:val="18"/>
                <w:b/>
                <w:color w:val="FFFFFF"/>
              </w:rPr>
              <w:t xml:space="preserve">Recorded result</w:t>
            </w:r>
          </w:p>
        </w:tc>
        <w:tc>
          <w:tcPr>
            <w:tcW w:w="4420" w:type="dxa"/>
            <w:shd w:fill="16324F"/>
            <w:vAlign w:val="top"/>
          </w:tcPr>
          <w:p>
            <w:pPr>
              <w:pStyle w:val="TableText"/>
            </w:pPr>
            <w:r>
              <w:rPr>
                <w:sz w:val="18"/>
                <w:b/>
                <w:color w:val="FFFFFF"/>
              </w:rPr>
              <w:t xml:space="preserve">What it establishes</w:t>
            </w:r>
          </w:p>
        </w:tc>
      </w:tr>
      <w:tr>
        <w:trPr>
          <w:cantSplit/>
        </w:trPr>
        <w:tc>
          <w:tcPr>
            <w:tcW w:w="2300" w:type="dxa"/>
            <w:shd w:fill="F0F5F9"/>
            <w:vAlign w:val="top"/>
          </w:tcPr>
          <w:p>
            <w:pPr>
              <w:pStyle w:val="TableText"/>
            </w:pPr>
            <w:r>
              <w:rPr>
                <w:sz w:val="18"/>
              </w:rPr>
              <w:t xml:space="preserve">Laravel suite</w:t>
            </w:r>
          </w:p>
        </w:tc>
        <w:tc>
          <w:tcPr>
            <w:tcW w:w="3050" w:type="dxa"/>
            <w:shd w:fill="F0F5F9"/>
            <w:vAlign w:val="top"/>
          </w:tcPr>
          <w:p>
            <w:pPr>
              <w:pStyle w:val="TableText"/>
            </w:pPr>
            <w:r>
              <w:rPr>
                <w:sz w:val="18"/>
              </w:rPr>
              <w:t xml:space="preserve">385 passed; 2,615 assertions</w:t>
            </w:r>
          </w:p>
        </w:tc>
        <w:tc>
          <w:tcPr>
            <w:tcW w:w="4420" w:type="dxa"/>
            <w:shd w:fill="F0F5F9"/>
            <w:vAlign w:val="top"/>
          </w:tcPr>
          <w:p>
            <w:pPr>
              <w:pStyle w:val="TableText"/>
            </w:pPr>
            <w:r>
              <w:rPr>
                <w:sz w:val="18"/>
              </w:rPr>
              <w:t xml:space="preserve">Existing backend regressions pass with in-memory SQLite and test-specific drivers.</w:t>
            </w:r>
          </w:p>
        </w:tc>
      </w:tr>
      <w:tr>
        <w:trPr>
          <w:cantSplit/>
        </w:trPr>
        <w:tc>
          <w:tcPr>
            <w:tcW w:w="2300" w:type="dxa"/>
            <w:shd w:fill="FFFFFF"/>
            <w:vAlign w:val="top"/>
          </w:tcPr>
          <w:p>
            <w:pPr>
              <w:pStyle w:val="TableText"/>
            </w:pPr>
            <w:r>
              <w:rPr>
                <w:sz w:val="18"/>
              </w:rPr>
              <w:t xml:space="preserve">Playwright</w:t>
            </w:r>
          </w:p>
        </w:tc>
        <w:tc>
          <w:tcPr>
            <w:tcW w:w="3050" w:type="dxa"/>
            <w:shd w:fill="FFFFFF"/>
            <w:vAlign w:val="top"/>
          </w:tcPr>
          <w:p>
            <w:pPr>
              <w:pStyle w:val="TableText"/>
            </w:pPr>
            <w:r>
              <w:rPr>
                <w:sz w:val="18"/>
              </w:rPr>
              <w:t xml:space="preserve">72 desktop/Pixel 7 Chromium checks passed</w:t>
            </w:r>
          </w:p>
        </w:tc>
        <w:tc>
          <w:tcPr>
            <w:tcW w:w="4420" w:type="dxa"/>
            <w:shd w:fill="FFFFFF"/>
            <w:vAlign w:val="top"/>
          </w:tcPr>
          <w:p>
            <w:pPr>
              <w:pStyle w:val="TableText"/>
            </w:pPr>
            <w:r>
              <w:rPr>
                <w:sz w:val="18"/>
              </w:rPr>
              <w:t xml:space="preserve">Current browser suite passed against the dev server with mocked UI APIs and fake camera input.</w:t>
            </w:r>
          </w:p>
        </w:tc>
      </w:tr>
      <w:tr>
        <w:trPr>
          <w:cantSplit/>
        </w:trPr>
        <w:tc>
          <w:tcPr>
            <w:tcW w:w="2300" w:type="dxa"/>
            <w:shd w:fill="F0F5F9"/>
            <w:vAlign w:val="top"/>
          </w:tcPr>
          <w:p>
            <w:pPr>
              <w:pStyle w:val="TableText"/>
            </w:pPr>
            <w:r>
              <w:rPr>
                <w:sz w:val="18"/>
              </w:rPr>
              <w:t xml:space="preserve">Frontend build</w:t>
            </w:r>
          </w:p>
        </w:tc>
        <w:tc>
          <w:tcPr>
            <w:tcW w:w="3050" w:type="dxa"/>
            <w:shd w:fill="F0F5F9"/>
            <w:vAlign w:val="top"/>
          </w:tcPr>
          <w:p>
            <w:pPr>
              <w:pStyle w:val="TableText"/>
            </w:pPr>
            <w:r>
              <w:rPr>
                <w:sz w:val="18"/>
              </w:rPr>
              <w:t xml:space="preserve">Passed</w:t>
            </w:r>
          </w:p>
        </w:tc>
        <w:tc>
          <w:tcPr>
            <w:tcW w:w="4420" w:type="dxa"/>
            <w:shd w:fill="F0F5F9"/>
            <w:vAlign w:val="top"/>
          </w:tcPr>
          <w:p>
            <w:pPr>
              <w:pStyle w:val="TableText"/>
            </w:pPr>
            <w:r>
              <w:rPr>
                <w:sz w:val="18"/>
              </w:rPr>
              <w:t xml:space="preserve">Vue TypeScript and production compilation completed.</w:t>
            </w:r>
          </w:p>
        </w:tc>
      </w:tr>
      <w:tr>
        <w:trPr>
          <w:cantSplit/>
        </w:trPr>
        <w:tc>
          <w:tcPr>
            <w:tcW w:w="2300" w:type="dxa"/>
            <w:shd w:fill="FFFFFF"/>
            <w:vAlign w:val="top"/>
          </w:tcPr>
          <w:p>
            <w:pPr>
              <w:pStyle w:val="TableText"/>
            </w:pPr>
            <w:r>
              <w:rPr>
                <w:sz w:val="18"/>
              </w:rPr>
              <w:t xml:space="preserve">Composer production audit</w:t>
            </w:r>
          </w:p>
        </w:tc>
        <w:tc>
          <w:tcPr>
            <w:tcW w:w="3050" w:type="dxa"/>
            <w:shd w:fill="FFFFFF"/>
            <w:vAlign w:val="top"/>
          </w:tcPr>
          <w:p>
            <w:pPr>
              <w:pStyle w:val="TableText"/>
            </w:pPr>
            <w:r>
              <w:rPr>
                <w:sz w:val="18"/>
              </w:rPr>
              <w:t xml:space="preserve">No advisories</w:t>
            </w:r>
          </w:p>
        </w:tc>
        <w:tc>
          <w:tcPr>
            <w:tcW w:w="4420" w:type="dxa"/>
            <w:shd w:fill="FFFFFF"/>
            <w:vAlign w:val="top"/>
          </w:tcPr>
          <w:p>
            <w:pPr>
              <w:pStyle w:val="TableText"/>
            </w:pPr>
            <w:r>
              <w:rPr>
                <w:sz w:val="18"/>
              </w:rPr>
              <w:t xml:space="preserve">Production PHP dependency audit at that time.</w:t>
            </w:r>
          </w:p>
        </w:tc>
      </w:tr>
      <w:tr>
        <w:trPr>
          <w:cantSplit/>
        </w:trPr>
        <w:tc>
          <w:tcPr>
            <w:tcW w:w="2300" w:type="dxa"/>
            <w:shd w:fill="F0F5F9"/>
            <w:vAlign w:val="top"/>
          </w:tcPr>
          <w:p>
            <w:pPr>
              <w:pStyle w:val="TableText"/>
            </w:pPr>
            <w:r>
              <w:rPr>
                <w:sz w:val="18"/>
              </w:rPr>
              <w:t xml:space="preserve">npm production audit</w:t>
            </w:r>
          </w:p>
        </w:tc>
        <w:tc>
          <w:tcPr>
            <w:tcW w:w="3050" w:type="dxa"/>
            <w:shd w:fill="F0F5F9"/>
            <w:vAlign w:val="top"/>
          </w:tcPr>
          <w:p>
            <w:pPr>
              <w:pStyle w:val="TableText"/>
            </w:pPr>
            <w:r>
              <w:rPr>
                <w:sz w:val="18"/>
              </w:rPr>
              <w:t xml:space="preserve">0 vulnerabilities</w:t>
            </w:r>
          </w:p>
        </w:tc>
        <w:tc>
          <w:tcPr>
            <w:tcW w:w="4420" w:type="dxa"/>
            <w:shd w:fill="F0F5F9"/>
            <w:vAlign w:val="top"/>
          </w:tcPr>
          <w:p>
            <w:pPr>
              <w:pStyle w:val="TableText"/>
            </w:pPr>
            <w:r>
              <w:rPr>
                <w:sz w:val="18"/>
              </w:rPr>
              <w:t xml:space="preserve">Locked production frontend graph at that time.</w:t>
            </w:r>
          </w:p>
        </w:tc>
      </w:tr>
      <w:tr>
        <w:trPr>
          <w:cantSplit/>
        </w:trPr>
        <w:tc>
          <w:tcPr>
            <w:tcW w:w="2300" w:type="dxa"/>
            <w:shd w:fill="FFFFFF"/>
            <w:vAlign w:val="top"/>
          </w:tcPr>
          <w:p>
            <w:pPr>
              <w:pStyle w:val="TableText"/>
            </w:pPr>
            <w:r>
              <w:rPr>
                <w:sz w:val="18"/>
              </w:rPr>
              <w:t xml:space="preserve">Full npm audit</w:t>
            </w:r>
          </w:p>
        </w:tc>
        <w:tc>
          <w:tcPr>
            <w:tcW w:w="3050" w:type="dxa"/>
            <w:shd w:fill="FFFFFF"/>
            <w:vAlign w:val="top"/>
          </w:tcPr>
          <w:p>
            <w:pPr>
              <w:pStyle w:val="TableText"/>
            </w:pPr>
            <w:r>
              <w:rPr>
                <w:sz w:val="18"/>
              </w:rPr>
              <w:t xml:space="preserve">7 findings: 5 high, 2 moderate</w:t>
            </w:r>
          </w:p>
        </w:tc>
        <w:tc>
          <w:tcPr>
            <w:tcW w:w="4420" w:type="dxa"/>
            <w:shd w:fill="FFFFFF"/>
            <w:vAlign w:val="top"/>
          </w:tcPr>
          <w:p>
            <w:pPr>
              <w:pStyle w:val="TableText"/>
            </w:pPr>
            <w:r>
              <w:rPr>
                <w:sz w:val="18"/>
              </w:rPr>
              <w:t xml:space="preserve">Open development-tool dependency paths.</w:t>
            </w:r>
          </w:p>
        </w:tc>
      </w:tr>
      <w:tr>
        <w:trPr>
          <w:cantSplit/>
        </w:trPr>
        <w:tc>
          <w:tcPr>
            <w:tcW w:w="2300" w:type="dxa"/>
            <w:shd w:fill="F0F5F9"/>
            <w:vAlign w:val="top"/>
          </w:tcPr>
          <w:p>
            <w:pPr>
              <w:pStyle w:val="TableText"/>
            </w:pPr>
            <w:r>
              <w:rPr>
                <w:sz w:val="18"/>
              </w:rPr>
              <w:t xml:space="preserve">Compose validation</w:t>
            </w:r>
          </w:p>
        </w:tc>
        <w:tc>
          <w:tcPr>
            <w:tcW w:w="3050" w:type="dxa"/>
            <w:shd w:fill="F0F5F9"/>
            <w:vAlign w:val="top"/>
          </w:tcPr>
          <w:p>
            <w:pPr>
              <w:pStyle w:val="TableText"/>
            </w:pPr>
            <w:r>
              <w:rPr>
                <w:sz w:val="18"/>
              </w:rPr>
              <w:t xml:space="preserve">Passed</w:t>
            </w:r>
          </w:p>
        </w:tc>
        <w:tc>
          <w:tcPr>
            <w:tcW w:w="4420" w:type="dxa"/>
            <w:shd w:fill="F0F5F9"/>
            <w:vAlign w:val="top"/>
          </w:tcPr>
          <w:p>
            <w:pPr>
              <w:pStyle w:val="TableText"/>
            </w:pPr>
            <w:r>
              <w:rPr>
                <w:sz w:val="18"/>
              </w:rPr>
              <w:t xml:space="preserve">Development configuration parsed.</w:t>
            </w:r>
          </w:p>
        </w:tc>
      </w:tr>
      <w:tr>
        <w:trPr>
          <w:cantSplit/>
        </w:trPr>
        <w:tc>
          <w:tcPr>
            <w:tcW w:w="2300" w:type="dxa"/>
            <w:shd w:fill="FFFFFF"/>
            <w:vAlign w:val="top"/>
          </w:tcPr>
          <w:p>
            <w:pPr>
              <w:pStyle w:val="TableText"/>
            </w:pPr>
            <w:r>
              <w:rPr>
                <w:sz w:val="18"/>
              </w:rPr>
              <w:t xml:space="preserve">Full stack / MySQL</w:t>
            </w:r>
          </w:p>
        </w:tc>
        <w:tc>
          <w:tcPr>
            <w:tcW w:w="3050" w:type="dxa"/>
            <w:shd w:fill="FFFFFF"/>
            <w:vAlign w:val="top"/>
          </w:tcPr>
          <w:p>
            <w:pPr>
              <w:pStyle w:val="TableText"/>
            </w:pPr>
            <w:r>
              <w:rPr>
                <w:sz w:val="18"/>
              </w:rPr>
              <w:t xml:space="preserve">Blocked by occupied port 3307</w:t>
            </w:r>
          </w:p>
        </w:tc>
        <w:tc>
          <w:tcPr>
            <w:tcW w:w="4420" w:type="dxa"/>
            <w:shd w:fill="FFFFFF"/>
            <w:vAlign w:val="top"/>
          </w:tcPr>
          <w:p>
            <w:pPr>
              <w:pStyle w:val="TableText"/>
            </w:pPr>
            <w:r>
              <w:rPr>
                <w:sz w:val="18"/>
              </w:rPr>
              <w:t xml:space="preserve">No current full-stack health or live MySQL concurrency certification.</w:t>
            </w:r>
          </w:p>
        </w:tc>
      </w:tr>
    </w:tbl>
    <w:p>
      <w:pPr>
        <w:pStyle w:val="Normal"/>
        <w:spacing w:after="60"/>
      </w:pPr>
    </w:p>
    <w:p>
      <w:pPr>
        <w:pStyle w:val="Heading2"/>
      </w:pPr>
      <w:r>
        <w:rPr/>
        <w:t xml:space="preserve">Commands and useful coverage</w:t>
      </w:r>
    </w:p>
    <w:p>
      <w:pPr>
        <w:pStyle w:val="CodeBlock"/>
        <w:keepNext/>
      </w:pPr>
      <w:r>
        <w:rPr>
          <w:rFonts w:ascii="Consolas" w:hAnsi="Consolas"/>
        </w:rPr>
        <w:t xml:space="preserve">docker compose exec app php artisan test --compact</w:t>
      </w:r>
    </w:p>
    <w:p>
      <w:pPr>
        <w:pStyle w:val="CodeBlock"/>
        <w:keepNext/>
      </w:pPr>
      <w:r>
        <w:rPr>
          <w:rFonts w:ascii="Consolas" w:hAnsi="Consolas"/>
        </w:rPr>
        <w:t xml:space="preserve">docker compose exec app php artisan test --filter=SellerWorkspaceTest</w:t>
      </w:r>
    </w:p>
    <w:p>
      <w:pPr>
        <w:pStyle w:val="CodeBlock"/>
        <w:keepNext/>
      </w:pPr>
      <w:r>
        <w:rPr>
          <w:rFonts w:ascii="Consolas" w:hAnsi="Consolas"/>
        </w:rPr>
        <w:t xml:space="preserve">docker compose exec frontend npm run build</w:t>
      </w:r>
    </w:p>
    <w:p>
      <w:pPr>
        <w:pStyle w:val="CodeBlock"/>
        <w:keepNext/>
      </w:pPr>
      <w:r>
        <w:rPr>
          <w:rFonts w:ascii="Consolas" w:hAnsi="Consolas"/>
        </w:rPr>
        <w:t xml:space="preserve">docker compose --profile test run --rm browser-tests</w:t>
      </w:r>
    </w:p>
    <w:p>
      <w:pPr>
        <w:pStyle w:val="CodeBlock"/>
        <w:keepNext/>
      </w:pPr>
      <w:r>
        <w:rPr>
          <w:rFonts w:ascii="Consolas" w:hAnsi="Consolas"/>
        </w:rPr>
        <w:t xml:space="preserve">docker compose exec app composer audit --no-dev</w:t>
      </w:r>
    </w:p>
    <w:p>
      <w:pPr>
        <w:pStyle w:val="CodeBlock"/>
      </w:pPr>
      <w:r>
        <w:rPr>
          <w:rFonts w:ascii="Consolas" w:hAnsi="Consolas"/>
        </w:rPr>
        <w:t xml:space="preserve">docker compose exec frontend npm audit --omit=dev --package-lock-only</w:t>
      </w:r>
    </w:p>
    <w:p>
      <w:pPr>
        <w:pStyle w:val="Normal"/>
        <w:spacing w:after="50"/>
      </w:pPr>
    </w:p>
    <w:p>
      <w:pPr>
        <w:pStyle w:val="Normal"/>
      </w:pPr>
      <w:r>
        <w:rPr>
          <w:rFonts w:ascii="Consolas" w:hAnsi="Consolas"/>
          <w:sz w:val="19"/>
          <w:color w:val="155E75"/>
        </w:rPr>
        <w:t xml:space="preserve">QaHotfixTest</w:t>
      </w:r>
      <w:r>
        <w:rPr/>
        <w:t xml:space="preserve"> covers cancellation, stock/refund consistency, coupon release, validation and production sandbox gating. </w:t>
      </w:r>
      <w:r>
        <w:rPr>
          <w:rFonts w:ascii="Consolas" w:hAnsi="Consolas"/>
          <w:sz w:val="19"/>
          <w:color w:val="155E75"/>
        </w:rPr>
        <w:t xml:space="preserve">SellerWorkspaceTest</w:t>
      </w:r>
      <w:r>
        <w:rPr/>
        <w:t xml:space="preserve"> covers stock edits/reservations and shop boundaries. Other suites cover Bakong, checkout idempotency, returns/support, catalog, ownership, photos and seed consistency. </w:t>
      </w:r>
      <w:r>
        <w:rPr>
          <w:rFonts w:ascii="Consolas" w:hAnsi="Consolas"/>
          <w:sz w:val="19"/>
          <w:color w:val="155E75"/>
        </w:rPr>
        <w:t xml:space="preserve">ReceiptBrandingServiceTest</w:t>
      </w:r>
      <w:r>
        <w:rPr/>
        <w:t xml:space="preserve"> provides unit-level receipt coverage. Browser tests cover layout alignment, seller forms, actual barcode pixel decoding with mocked media, settings, payment progress, refund proof UI and expired-checkout retries.</w:t>
      </w:r>
    </w:p>
    <w:p>
      <w:pPr>
        <w:pStyle w:val="Normal"/>
      </w:pPr>
      <w:r>
        <w:rPr/>
        <w:t xml:space="preserve">The CI workflow defines backend tests, frontend build, production audits and browser checks. This document does not assert that a specific remote CI run succeeded. SQLite does not reproduce MySQL lock contention, fake cameras do not certify real phones and mocked bank responses do not prove bank activation. Use the QA report for finding IDs and evidence details.</w:t>
      </w:r>
    </w:p>
    <w:p>
      <w:pPr>
        <w:pStyle w:val="Heading1"/>
      </w:pPr>
      <w:bookmarkStart w:id="14" w:name="chapter_14"/>
      <w:r>
        <w:rPr/>
        <w:t xml:space="preserve">14. Security and business-rule boundaries</w:t>
      </w:r>
      <w:bookmarkEnd w:id="14"/>
    </w:p>
    <w:p>
      <w:pPr>
        <w:pStyle w:val="Normal"/>
      </w:pPr>
      <w:r>
        <w:rPr/>
        <w:t xml:space="preserve">Authentication, authorization and ownership are separate checks. A valid token identifies the caller; it does not grant membership in every shop. User order/address/review ownership must be verified on the server. Public shop resources must not reveal bank settings, commission configuration or private purchase costs.</w:t>
      </w:r>
    </w:p>
    <w:p>
      <w:pPr>
        <w:pStyle w:val="Normal"/>
      </w:pPr>
      <w:r>
        <w:rPr/>
        <w:t xml:space="preserve">Production Compose selects production payment mode and disables debug. Production exception rendering masks unexpected API errors even if debug is misconfigured. Environment files remain untracked. Avoid placing secrets in Vite settings, logs, sample requests or screenshots. A local demo account is a convenience fixture, not a production bootstrap strategy.</w:t>
      </w:r>
    </w:p>
    <w:p>
      <w:pPr>
        <w:pStyle w:val="Normal"/>
      </w:pPr>
      <w:r>
        <w:rPr/>
        <w:t xml:space="preserve">Image upload validates supported formats/context and uses generated filenames. Private return evidence must remain behind authenticated downloads. Guest session IDs currently act as browser-held bearer credentials; stronger server-issued/signature/expiry policies remain a review item. Inspect actual CORS behavior before a separately hosted frontend is deployed.</w:t>
      </w:r>
    </w:p>
    <w:p>
      <w:pPr>
        <w:pStyle w:val="Normal"/>
      </w:pPr>
      <w:r>
        <w:rPr/>
        <w:t xml:space="preserve">Business owners still need to approve shipping, tax, returns, commissions, privacy and retention policies. The application's tax calculation and help-page copy are existing behavior, not recorded business/legal approval. These policies should be deliberate configuration/product decisions rather than undocumented assumptions in a UI change.</w:t>
      </w:r>
    </w:p>
    <w:p>
      <w:pPr>
        <w:pStyle w:val="Heading1"/>
      </w:pPr>
      <w:bookmarkStart w:id="15" w:name="chapter_15"/>
      <w:r>
        <w:rPr/>
        <w:t xml:space="preserve">15. Deployment, background work and recovery</w:t>
      </w:r>
      <w:bookmarkEnd w:id="15"/>
    </w:p>
    <w:p>
      <w:pPr>
        <w:pStyle w:val="Heading2"/>
      </w:pPr>
      <w:r>
        <w:rPr/>
        <w:t xml:space="preserve">Development versus production</w:t>
      </w:r>
    </w:p>
    <w:p>
      <w:pPr>
        <w:pStyle w:val="Normal"/>
      </w:pPr>
      <w:r>
        <w:rPr>
          <w:rFonts w:ascii="Consolas" w:hAnsi="Consolas"/>
          <w:sz w:val="19"/>
          <w:color w:val="155E75"/>
        </w:rPr>
        <w:t xml:space="preserve">docker-compose.yml</w:t>
      </w:r>
      <w:r>
        <w:rPr/>
        <w:t xml:space="preserve"> exposes development tools/ports and runs Vite. </w:t>
      </w:r>
      <w:r>
        <w:rPr>
          <w:rFonts w:ascii="Consolas" w:hAnsi="Consolas"/>
          <w:sz w:val="19"/>
          <w:color w:val="155E75"/>
        </w:rPr>
        <w:t xml:space="preserve">compose.production.yml</w:t>
      </w:r>
      <w:r>
        <w:rPr/>
        <w:t xml:space="preserve"> uses project </w:t>
      </w:r>
      <w:r>
        <w:rPr>
          <w:rFonts w:ascii="Consolas" w:hAnsi="Consolas"/>
          <w:sz w:val="19"/>
          <w:color w:val="155E75"/>
        </w:rPr>
        <w:t xml:space="preserve">ekhmer-production</w:t>
      </w:r>
      <w:r>
        <w:rPr/>
        <w:t xml:space="preserve">, separate volumes, built images, internal MySQL/Redis, Caddy HTTPS, worker/scheduler and backup services. The production Dockerfile builds frontend assets and PHP dependencies without development packages. Shipping the development stack unchanged is not the supplied production workflow.</w:t>
      </w:r>
    </w:p>
    <w:p>
      <w:pPr>
        <w:pStyle w:val="Normal"/>
      </w:pPr>
      <w:r>
        <w:rPr/>
        <w:t xml:space="preserve">Before deployment, provision OCI Compute/storage/IP, domain DNS, restricted SSH/firewall, private </w:t>
      </w:r>
      <w:r>
        <w:rPr>
          <w:rFonts w:ascii="Consolas" w:hAnsi="Consolas"/>
          <w:sz w:val="19"/>
          <w:color w:val="155E75"/>
        </w:rPr>
        <w:t xml:space="preserve">.env.production</w:t>
      </w:r>
      <w:r>
        <w:rPr/>
        <w:t xml:space="preserve">, a stable </w:t>
      </w:r>
      <w:r>
        <w:rPr>
          <w:rFonts w:ascii="Consolas" w:hAnsi="Consolas"/>
          <w:sz w:val="19"/>
          <w:color w:val="155E75"/>
        </w:rPr>
        <w:t xml:space="preserve">APP_KEY</w:t>
      </w:r>
      <w:r>
        <w:rPr/>
        <w:t xml:space="preserve">, independent database passwords, SMTP credentials/sender domain and the server-only Bakong credential. Production is not already activated merely because these files exist.</w:t>
      </w:r>
    </w:p>
    <w:p>
      <w:pPr>
        <w:pStyle w:val="CodeBlock"/>
        <w:keepNext/>
      </w:pPr>
      <w:r>
        <w:rPr>
          <w:rFonts w:ascii="Consolas" w:hAnsi="Consolas"/>
        </w:rPr>
        <w:t xml:space="preserve">docker compose --env-file .env.production -f compose.production.yml config --quiet</w:t>
      </w:r>
    </w:p>
    <w:p>
      <w:pPr>
        <w:pStyle w:val="CodeBlock"/>
        <w:keepNext/>
      </w:pPr>
      <w:r>
        <w:rPr>
          <w:rFonts w:ascii="Consolas" w:hAnsi="Consolas"/>
        </w:rPr>
        <w:t xml:space="preserve">docker compose --env-file .env.production -f compose.production.yml build app web</w:t>
      </w:r>
    </w:p>
    <w:p>
      <w:pPr>
        <w:pStyle w:val="CodeBlock"/>
        <w:keepNext/>
      </w:pPr>
      <w:r>
        <w:rPr>
          <w:rFonts w:ascii="Consolas" w:hAnsi="Consolas"/>
        </w:rPr>
        <w:t xml:space="preserve">docker compose --env-file .env.production -f compose.production.yml up -d mysql redis</w:t>
      </w:r>
    </w:p>
    <w:p>
      <w:pPr>
        <w:pStyle w:val="CodeBlock"/>
        <w:keepNext/>
      </w:pPr>
      <w:r>
        <w:rPr>
          <w:rFonts w:ascii="Consolas" w:hAnsi="Consolas"/>
        </w:rPr>
        <w:t xml:space="preserve">docker compose --env-file .env.production -f compose.production.yml run --rm app php artisan migrate --force</w:t>
      </w:r>
    </w:p>
    <w:p>
      <w:pPr>
        <w:pStyle w:val="CodeBlock"/>
      </w:pPr>
      <w:r>
        <w:rPr>
          <w:rFonts w:ascii="Consolas" w:hAnsi="Consolas"/>
        </w:rPr>
        <w:t xml:space="preserve">docker compose --env-file .env.production -f compose.production.yml up -d app worker scheduler web edge backup</w:t>
      </w:r>
    </w:p>
    <w:p>
      <w:pPr>
        <w:pStyle w:val="Normal"/>
        <w:spacing w:after="50"/>
      </w:pPr>
    </w:p>
    <w:p>
      <w:pPr>
        <w:pStyle w:val="Normal"/>
      </w:pPr>
      <w:r>
        <w:rPr/>
        <w:t xml:space="preserve">These are deployment instructions, not actions performed while writing this handover. Preserve an existing key and bootstrap a real administrator using the team's controlled provisioning procedure. Do not run the demo seeder in production. The full deployment guide contains prerequisites, first-key handling and recovery details.</w:t>
      </w:r>
    </w:p>
    <w:p>
      <w:pPr>
        <w:pStyle w:val="Heading2"/>
      </w:pPr>
      <w:r>
        <w:rPr/>
        <w:t xml:space="preserve">Scheduler and worker</w:t>
      </w:r>
    </w:p>
    <w:p>
      <w:pPr>
        <w:pStyle w:val="Normal"/>
      </w:pPr>
      <w:r>
        <w:rPr>
          <w:rFonts w:ascii="Consolas" w:hAnsi="Consolas"/>
          <w:sz w:val="19"/>
          <w:color w:val="155E75"/>
        </w:rPr>
        <w:t xml:space="preserve">routes/console.php</w:t>
      </w:r>
      <w:r>
        <w:rPr/>
        <w:t xml:space="preserve"> schedules expiry, payment reconciliation and operational heartbeats every minute. </w:t>
      </w:r>
      <w:r>
        <w:rPr>
          <w:rFonts w:ascii="Consolas" w:hAnsi="Consolas"/>
          <w:sz w:val="19"/>
          <w:color w:val="155E75"/>
        </w:rPr>
        <w:t xml:space="preserve">payments:reconcile --limit=25</w:t>
      </w:r>
      <w:r>
        <w:rPr/>
        <w:t xml:space="preserve"> checks recent unsettled payments with bounded work; without a bank token it reports that reconciliation is skipped. The queue worker handles the configured queue connection. Notification behavior varies: registration verification is scheduled after response, while other operations may enqueue mail/jobs.</w:t>
      </w:r>
    </w:p>
    <w:p>
      <w:pPr>
        <w:pStyle w:val="CodeBlock"/>
        <w:keepNext/>
      </w:pPr>
      <w:r>
        <w:rPr>
          <w:rFonts w:ascii="Consolas" w:hAnsi="Consolas"/>
        </w:rPr>
        <w:t xml:space="preserve">docker compose up -d worker scheduler</w:t>
      </w:r>
    </w:p>
    <w:p>
      <w:pPr>
        <w:pStyle w:val="CodeBlock"/>
        <w:keepNext/>
      </w:pPr>
      <w:r>
        <w:rPr>
          <w:rFonts w:ascii="Consolas" w:hAnsi="Consolas"/>
        </w:rPr>
        <w:t xml:space="preserve">docker compose exec app php artisan ops:health --require-heartbeats</w:t>
      </w:r>
    </w:p>
    <w:p>
      <w:pPr>
        <w:pStyle w:val="CodeBlock"/>
        <w:keepNext/>
      </w:pPr>
      <w:r>
        <w:rPr>
          <w:rFonts w:ascii="Consolas" w:hAnsi="Consolas"/>
        </w:rPr>
        <w:t xml:space="preserve">docker compose exec app php artisan queue:failed</w:t>
      </w:r>
    </w:p>
    <w:p>
      <w:pPr>
        <w:pStyle w:val="CodeBlock"/>
      </w:pPr>
      <w:r>
        <w:rPr>
          <w:rFonts w:ascii="Consolas" w:hAnsi="Consolas"/>
        </w:rPr>
        <w:t xml:space="preserve">docker compose logs --tail=80 worker scheduler</w:t>
      </w:r>
    </w:p>
    <w:p>
      <w:pPr>
        <w:pStyle w:val="Normal"/>
        <w:spacing w:after="50"/>
      </w:pPr>
    </w:p>
    <w:p>
      <w:pPr>
        <w:pStyle w:val="Normal"/>
      </w:pPr>
      <w:r>
        <w:rPr/>
        <w:t xml:space="preserve">Allow the services to produce heartbeats before requiring them. Monitor database/cache health, stalled queues, missing scheduler heartbeats, Bakong failures/token expiry, TLS, disk space and failed/stale backups.</w:t>
      </w:r>
    </w:p>
    <w:p>
      <w:pPr>
        <w:pStyle w:val="Heading2"/>
      </w:pPr>
      <w:r>
        <w:rPr/>
        <w:t xml:space="preserve">Backup and restore</w:t>
      </w:r>
    </w:p>
    <w:p>
      <w:pPr>
        <w:pStyle w:val="Normal"/>
      </w:pPr>
      <w:r>
        <w:rPr/>
        <w:t xml:space="preserve">The backup script creates a transaction-consistent MySQL dump plus public/private media archives and verifies archive integrity. A local backup volume is not an off-server recovery plan. Configure protected offsite copies, retention and alerting, and separately back up the original key/private configuration.</w:t>
      </w:r>
    </w:p>
    <w:p>
      <w:pPr>
        <w:pStyle w:val="Normal"/>
      </w:pPr>
      <w:r>
        <w:rPr/>
        <w:t xml:space="preserve">The isolated restore-check profile uses a disposable MySQL service and the fixed database name </w:t>
      </w:r>
      <w:r>
        <w:rPr>
          <w:rFonts w:ascii="Consolas" w:hAnsi="Consolas"/>
          <w:sz w:val="19"/>
          <w:color w:val="155E75"/>
        </w:rPr>
        <w:t xml:space="preserve">ecommerce_restore_check</w:t>
      </w:r>
      <w:r>
        <w:rPr/>
        <w:t xml:space="preserve">. It refuses the live </w:t>
      </w:r>
      <w:r>
        <w:rPr>
          <w:rFonts w:ascii="Consolas" w:hAnsi="Consolas"/>
          <w:sz w:val="19"/>
          <w:color w:val="155E75"/>
        </w:rPr>
        <w:t xml:space="preserve">mysql</w:t>
      </w:r>
      <w:r>
        <w:rPr/>
        <w:t xml:space="preserve"> hostname and refuses to overwrite an existing restore database. It checks SQL restoration and archive readability without extracting over live media. A successful row count still does not prove complete order/payment/media recovery.</w:t>
      </w:r>
    </w:p>
    <w:p>
      <w:pPr>
        <w:pStyle w:val="Normal"/>
      </w:pPr>
      <w:r>
        <w:rPr/>
        <w:t xml:space="preserve">For disaster recovery, restore into a new isolated stack, supply the original secrets/key, restore both media areas, verify financial/order consistency and switch traffic only after acceptance. The scripts do not implement MySQL binlog point-in-time recovery. Follow </w:t>
      </w:r>
      <w:r>
        <w:rPr>
          <w:rFonts w:ascii="Consolas" w:hAnsi="Consolas"/>
          <w:sz w:val="19"/>
          <w:color w:val="155E75"/>
        </w:rPr>
        <w:t xml:space="preserve">docs/ORACLE-CLOUD.md</w:t>
      </w:r>
      <w:r>
        <w:rPr/>
        <w:t xml:space="preserve"> for exact maintenance-profile commands.</w:t>
      </w:r>
    </w:p>
    <w:p>
      <w:pPr>
        <w:pStyle w:val="Heading1"/>
      </w:pPr>
      <w:bookmarkStart w:id="16" w:name="chapter_16"/>
      <w:r>
        <w:rPr/>
        <w:t xml:space="preserve">16. Suggested team walkthrough</w:t>
      </w:r>
      <w:bookmarkEnd w:id="16"/>
    </w:p>
    <w:p>
      <w:pPr>
        <w:pStyle w:val="Normal"/>
      </w:pPr>
      <w:r>
        <w:rPr/>
        <w:t xml:space="preserve">Use an intended demo environment. The sample seed's orders are delivered historical fixtures, so show newly created checkout state separately from those historical records.</w:t>
      </w:r>
    </w:p>
    <w:p>
      <w:pPr>
        <w:pStyle w:val="ListParagraph"/>
        <w:numPr>
          <w:ilvl w:val="0"/>
          <w:numId w:val="2"/>
        </w:numPr>
      </w:pPr>
      <w:r>
        <w:rPr/>
        <w:t xml:space="preserve">Show </w:t>
      </w:r>
      <w:r>
        <w:rPr>
          <w:rFonts w:ascii="Consolas" w:hAnsi="Consolas"/>
          <w:sz w:val="19"/>
          <w:color w:val="155E75"/>
        </w:rPr>
        <w:t xml:space="preserve">/shops</w:t>
      </w:r>
      <w:r>
        <w:rPr/>
        <w:t xml:space="preserve"> and a public shop page; explain public versus private shop data.</w:t>
      </w:r>
    </w:p>
    <w:p>
      <w:pPr>
        <w:pStyle w:val="ListParagraph"/>
        <w:numPr>
          <w:ilvl w:val="0"/>
          <w:numId w:val="2"/>
        </w:numPr>
      </w:pPr>
      <w:r>
        <w:rPr/>
        <w:t xml:space="preserve">Log in as the demo seller, select a shop and show its product, stock and order pages.</w:t>
      </w:r>
    </w:p>
    <w:p>
      <w:pPr>
        <w:pStyle w:val="ListParagraph"/>
        <w:numPr>
          <w:ilvl w:val="0"/>
          <w:numId w:val="2"/>
        </w:numPr>
      </w:pPr>
      <w:r>
        <w:rPr/>
        <w:t xml:space="preserve">Create a simple listing and an option listing; explain SKU, barcode, private cost and selling price.</w:t>
      </w:r>
    </w:p>
    <w:p>
      <w:pPr>
        <w:pStyle w:val="ListParagraph"/>
        <w:numPr>
          <w:ilvl w:val="0"/>
          <w:numId w:val="2"/>
        </w:numPr>
      </w:pPr>
      <w:r>
        <w:rPr/>
        <w:t xml:space="preserve">Upload a photo, scan or type a barcode, review the result and explicitly save.</w:t>
      </w:r>
    </w:p>
    <w:p>
      <w:pPr>
        <w:pStyle w:val="ListParagraph"/>
        <w:numPr>
          <w:ilvl w:val="0"/>
          <w:numId w:val="2"/>
        </w:numPr>
      </w:pPr>
      <w:r>
        <w:rPr/>
        <w:t xml:space="preserve">Edit stock; show total on hand versus reserved/available. Try an invalid quantity in a disposable workflow.</w:t>
      </w:r>
    </w:p>
    <w:p>
      <w:pPr>
        <w:pStyle w:val="ListParagraph"/>
        <w:numPr>
          <w:ilvl w:val="0"/>
          <w:numId w:val="2"/>
        </w:numPr>
      </w:pPr>
      <w:r>
        <w:rPr/>
        <w:t xml:space="preserve">Log in as the customer, choose a variant and build a cart. Show per-shop shipping at checkout.</w:t>
      </w:r>
    </w:p>
    <w:p>
      <w:pPr>
        <w:pStyle w:val="ListParagraph"/>
        <w:numPr>
          <w:ilvl w:val="0"/>
          <w:numId w:val="2"/>
        </w:numPr>
      </w:pPr>
      <w:r>
        <w:rPr/>
        <w:t xml:space="preserve">Use COD for a local demonstration without bank configuration; explain that confirmed does not mean cash collected. Do not fake a successful production bank payment.</w:t>
      </w:r>
    </w:p>
    <w:p>
      <w:pPr>
        <w:pStyle w:val="ListParagraph"/>
        <w:numPr>
          <w:ilvl w:val="0"/>
          <w:numId w:val="2"/>
        </w:numPr>
      </w:pPr>
      <w:r>
        <w:rPr/>
        <w:t xml:space="preserve">If bank acceptance is authorized/configured separately, show each shop QR and server verification, then partial-payment/expiry handling.</w:t>
      </w:r>
    </w:p>
    <w:p>
      <w:pPr>
        <w:pStyle w:val="ListParagraph"/>
        <w:numPr>
          <w:ilvl w:val="0"/>
          <w:numId w:val="2"/>
        </w:numPr>
      </w:pPr>
      <w:r>
        <w:rPr/>
        <w:t xml:space="preserve">Process seller allocations independently and show customer tracking. Use a valid delivered fixture to explain returns and verified reviews.</w:t>
      </w:r>
    </w:p>
    <w:p>
      <w:pPr>
        <w:pStyle w:val="ListParagraph"/>
        <w:numPr>
          <w:ilvl w:val="0"/>
          <w:numId w:val="2"/>
        </w:numPr>
      </w:pPr>
      <w:r>
        <w:rPr/>
        <w:t xml:space="preserve">Show admin charts, review moderation, support and reporting; finish with the QA report and remaining-work checklist.</w:t>
      </w:r>
    </w:p>
    <w:p>
      <w:pPr>
        <w:pStyle w:val="Normal"/>
      </w:pPr>
      <w:r>
        <w:rPr/>
        <w:t xml:space="preserve">This sequence demonstrates behavior without claiming that sample bank fixtures are actual transfers or that all planned launch tasks are complete.</w:t>
      </w:r>
    </w:p>
    <w:p>
      <w:pPr>
        <w:pStyle w:val="Heading1"/>
      </w:pPr>
      <w:bookmarkStart w:id="17" w:name="chapter_17"/>
      <w:r>
        <w:rPr/>
        <w:t xml:space="preserve">17. Known issues, next steps and troubleshooting</w:t>
      </w:r>
      <w:bookmarkEnd w:id="17"/>
    </w:p>
    <w:p>
      <w:pPr>
        <w:pStyle w:val="Heading2"/>
      </w:pPr>
      <w:r>
        <w:rPr/>
        <w:t xml:space="preserve">Prioritized remaining work</w:t>
      </w:r>
    </w:p>
    <w:tbl>
      <w:tblPr>
        <w:tblW w:w="9770" w:type="dxa"/>
        <w:tblLayout w:type="fixed"/>
        <w:tblCellMar>
          <w:top w:w="90" w:type="dxa"/>
          <w:left w:w="105" w:type="dxa"/>
          <w:bottom w:w="90" w:type="dxa"/>
          <w:right w:w="105" w:type="dxa"/>
        </w:tblCellMar>
        <w:tblBorders>
          <w:insideH w:val="single" w:sz="4" w:color="DCE5ED"/>
        </w:tblBorders>
      </w:tblPr>
      <w:tblGrid>
        <w:gridCol w:w="2300"/>
        <w:gridCol w:w="3050"/>
        <w:gridCol w:w="4420"/>
      </w:tblGrid>
      <w:tr>
        <w:trPr>
          <w:cantSplit/>
          <w:tblHeader/>
        </w:trPr>
        <w:tc>
          <w:tcPr>
            <w:tcW w:w="2300" w:type="dxa"/>
            <w:shd w:fill="16324F"/>
            <w:vAlign w:val="top"/>
          </w:tcPr>
          <w:p>
            <w:pPr>
              <w:pStyle w:val="TableText"/>
            </w:pPr>
            <w:r>
              <w:rPr>
                <w:sz w:val="18"/>
                <w:b/>
                <w:color w:val="FFFFFF"/>
              </w:rPr>
              <w:t xml:space="preserve">Priority / owner area</w:t>
            </w:r>
          </w:p>
        </w:tc>
        <w:tc>
          <w:tcPr>
            <w:tcW w:w="3050" w:type="dxa"/>
            <w:shd w:fill="16324F"/>
            <w:vAlign w:val="top"/>
          </w:tcPr>
          <w:p>
            <w:pPr>
              <w:pStyle w:val="TableText"/>
            </w:pPr>
            <w:r>
              <w:rPr>
                <w:sz w:val="18"/>
                <w:b/>
                <w:color w:val="FFFFFF"/>
              </w:rPr>
              <w:t xml:space="preserve">Current gap</w:t>
            </w:r>
          </w:p>
        </w:tc>
        <w:tc>
          <w:tcPr>
            <w:tcW w:w="4420" w:type="dxa"/>
            <w:shd w:fill="16324F"/>
            <w:vAlign w:val="top"/>
          </w:tcPr>
          <w:p>
            <w:pPr>
              <w:pStyle w:val="TableText"/>
            </w:pPr>
            <w:r>
              <w:rPr>
                <w:sz w:val="18"/>
                <w:b/>
                <w:color w:val="FFFFFF"/>
              </w:rPr>
              <w:t xml:space="preserve">Completion evidence</w:t>
            </w:r>
          </w:p>
        </w:tc>
      </w:tr>
      <w:tr>
        <w:trPr>
          <w:cantSplit/>
        </w:trPr>
        <w:tc>
          <w:tcPr>
            <w:tcW w:w="2300" w:type="dxa"/>
            <w:shd w:fill="F0F5F9"/>
            <w:vAlign w:val="top"/>
          </w:tcPr>
          <w:p>
            <w:pPr>
              <w:pStyle w:val="TableText"/>
            </w:pPr>
            <w:r>
              <w:rPr>
                <w:sz w:val="18"/>
              </w:rPr>
              <w:t xml:space="preserve">Backend correctness</w:t>
            </w:r>
          </w:p>
        </w:tc>
        <w:tc>
          <w:tcPr>
            <w:tcW w:w="3050" w:type="dxa"/>
            <w:shd w:fill="F0F5F9"/>
            <w:vAlign w:val="top"/>
          </w:tcPr>
          <w:p>
            <w:pPr>
              <w:pStyle w:val="TableText"/>
            </w:pPr>
            <w:r>
              <w:rPr>
                <w:sz w:val="18"/>
              </w:rPr>
              <w:t xml:space="preserve">Rejecting an approved review does not recalculate product rating.</w:t>
            </w:r>
          </w:p>
        </w:tc>
        <w:tc>
          <w:tcPr>
            <w:tcW w:w="4420" w:type="dxa"/>
            <w:shd w:fill="F0F5F9"/>
            <w:vAlign w:val="top"/>
          </w:tcPr>
          <w:p>
            <w:pPr>
              <w:pStyle w:val="TableText"/>
            </w:pPr>
            <w:r>
              <w:rPr>
                <w:sz w:val="18"/>
              </w:rPr>
              <w:t xml:space="preserve">Regression for approved → rejected and corrected aggregate.</w:t>
            </w:r>
          </w:p>
        </w:tc>
      </w:tr>
      <w:tr>
        <w:trPr>
          <w:cantSplit/>
        </w:trPr>
        <w:tc>
          <w:tcPr>
            <w:tcW w:w="2300" w:type="dxa"/>
            <w:shd w:fill="FFFFFF"/>
            <w:vAlign w:val="top"/>
          </w:tcPr>
          <w:p>
            <w:pPr>
              <w:pStyle w:val="TableText"/>
            </w:pPr>
            <w:r>
              <w:rPr>
                <w:sz w:val="18"/>
              </w:rPr>
              <w:t xml:space="preserve">Backend inventory</w:t>
            </w:r>
          </w:p>
        </w:tc>
        <w:tc>
          <w:tcPr>
            <w:tcW w:w="3050" w:type="dxa"/>
            <w:shd w:fill="FFFFFF"/>
            <w:vAlign w:val="top"/>
          </w:tcPr>
          <w:p>
            <w:pPr>
              <w:pStyle w:val="TableText"/>
            </w:pPr>
            <w:r>
              <w:rPr>
                <w:sz w:val="18"/>
              </w:rPr>
              <w:t xml:space="preserve">Releasing reservations does not rearm the low-stock notification marker.</w:t>
            </w:r>
          </w:p>
        </w:tc>
        <w:tc>
          <w:tcPr>
            <w:tcW w:w="4420" w:type="dxa"/>
            <w:shd w:fill="FFFFFF"/>
            <w:vAlign w:val="top"/>
          </w:tcPr>
          <w:p>
            <w:pPr>
              <w:pStyle w:val="TableText"/>
            </w:pPr>
            <w:r>
              <w:rPr>
                <w:sz w:val="18"/>
              </w:rPr>
              <w:t xml:space="preserve">Low → replenished → low notification regression.</w:t>
            </w:r>
          </w:p>
        </w:tc>
      </w:tr>
      <w:tr>
        <w:trPr>
          <w:cantSplit/>
        </w:trPr>
        <w:tc>
          <w:tcPr>
            <w:tcW w:w="2300" w:type="dxa"/>
            <w:shd w:fill="F0F5F9"/>
            <w:vAlign w:val="top"/>
          </w:tcPr>
          <w:p>
            <w:pPr>
              <w:pStyle w:val="TableText"/>
            </w:pPr>
            <w:r>
              <w:rPr>
                <w:sz w:val="18"/>
              </w:rPr>
              <w:t xml:space="preserve">Admin reporting</w:t>
            </w:r>
          </w:p>
        </w:tc>
        <w:tc>
          <w:tcPr>
            <w:tcW w:w="3050" w:type="dxa"/>
            <w:shd w:fill="F0F5F9"/>
            <w:vAlign w:val="top"/>
          </w:tcPr>
          <w:p>
            <w:pPr>
              <w:pStyle w:val="TableText"/>
            </w:pPr>
            <w:r>
              <w:rPr>
                <w:sz w:val="18"/>
              </w:rPr>
              <w:t xml:space="preserve">Report dates are parsed without complete input validation.</w:t>
            </w:r>
          </w:p>
        </w:tc>
        <w:tc>
          <w:tcPr>
            <w:tcW w:w="4420" w:type="dxa"/>
            <w:shd w:fill="F0F5F9"/>
            <w:vAlign w:val="top"/>
          </w:tcPr>
          <w:p>
            <w:pPr>
              <w:pStyle w:val="TableText"/>
            </w:pPr>
            <w:r>
              <w:rPr>
                <w:sz w:val="18"/>
              </w:rPr>
              <w:t xml:space="preserve">Invalid dates/order/span return clean 422 responses.</w:t>
            </w:r>
          </w:p>
        </w:tc>
      </w:tr>
      <w:tr>
        <w:trPr>
          <w:cantSplit/>
        </w:trPr>
        <w:tc>
          <w:tcPr>
            <w:tcW w:w="2300" w:type="dxa"/>
            <w:shd w:fill="FFFFFF"/>
            <w:vAlign w:val="top"/>
          </w:tcPr>
          <w:p>
            <w:pPr>
              <w:pStyle w:val="TableText"/>
            </w:pPr>
            <w:r>
              <w:rPr>
                <w:sz w:val="18"/>
              </w:rPr>
              <w:t xml:space="preserve">Commerce</w:t>
            </w:r>
          </w:p>
        </w:tc>
        <w:tc>
          <w:tcPr>
            <w:tcW w:w="3050" w:type="dxa"/>
            <w:shd w:fill="FFFFFF"/>
            <w:vAlign w:val="top"/>
          </w:tcPr>
          <w:p>
            <w:pPr>
              <w:pStyle w:val="TableText"/>
            </w:pPr>
            <w:r>
              <w:rPr>
                <w:sz w:val="18"/>
              </w:rPr>
              <w:t xml:space="preserve">Audited COD payment collection/reconciliation is missing.</w:t>
            </w:r>
          </w:p>
        </w:tc>
        <w:tc>
          <w:tcPr>
            <w:tcW w:w="4420" w:type="dxa"/>
            <w:shd w:fill="FFFFFF"/>
            <w:vAlign w:val="top"/>
          </w:tcPr>
          <w:p>
            <w:pPr>
              <w:pStyle w:val="TableText"/>
            </w:pPr>
            <w:r>
              <w:rPr>
                <w:sz w:val="18"/>
              </w:rPr>
              <w:t xml:space="preserve">Authorized capture action, ledger and revenue behavior verified.</w:t>
            </w:r>
          </w:p>
        </w:tc>
      </w:tr>
      <w:tr>
        <w:trPr>
          <w:cantSplit/>
        </w:trPr>
        <w:tc>
          <w:tcPr>
            <w:tcW w:w="2300" w:type="dxa"/>
            <w:shd w:fill="F0F5F9"/>
            <w:vAlign w:val="top"/>
          </w:tcPr>
          <w:p>
            <w:pPr>
              <w:pStyle w:val="TableText"/>
            </w:pPr>
            <w:r>
              <w:rPr>
                <w:sz w:val="18"/>
              </w:rPr>
              <w:t xml:space="preserve">Abuse controls</w:t>
            </w:r>
          </w:p>
        </w:tc>
        <w:tc>
          <w:tcPr>
            <w:tcW w:w="3050" w:type="dxa"/>
            <w:shd w:fill="F0F5F9"/>
            <w:vAlign w:val="top"/>
          </w:tcPr>
          <w:p>
            <w:pPr>
              <w:pStyle w:val="TableText"/>
            </w:pPr>
            <w:r>
              <w:rPr>
                <w:sz w:val="18"/>
              </w:rPr>
              <w:t xml:space="preserve">Checkout creation lacks an explicit route throttle/pending-order quota.</w:t>
            </w:r>
          </w:p>
        </w:tc>
        <w:tc>
          <w:tcPr>
            <w:tcW w:w="4420" w:type="dxa"/>
            <w:shd w:fill="F0F5F9"/>
            <w:vAlign w:val="top"/>
          </w:tcPr>
          <w:p>
            <w:pPr>
              <w:pStyle w:val="TableText"/>
            </w:pPr>
            <w:r>
              <w:rPr>
                <w:sz w:val="18"/>
              </w:rPr>
              <w:t xml:space="preserve">Distinct-reservation abuse tests plus preserved legitimate retries.</w:t>
            </w:r>
          </w:p>
        </w:tc>
      </w:tr>
      <w:tr>
        <w:trPr>
          <w:cantSplit/>
        </w:trPr>
        <w:tc>
          <w:tcPr>
            <w:tcW w:w="2300" w:type="dxa"/>
            <w:shd w:fill="FFFFFF"/>
            <w:vAlign w:val="top"/>
          </w:tcPr>
          <w:p>
            <w:pPr>
              <w:pStyle w:val="TableText"/>
            </w:pPr>
            <w:r>
              <w:rPr>
                <w:sz w:val="18"/>
              </w:rPr>
              <w:t xml:space="preserve">Reliability</w:t>
            </w:r>
          </w:p>
        </w:tc>
        <w:tc>
          <w:tcPr>
            <w:tcW w:w="3050" w:type="dxa"/>
            <w:shd w:fill="FFFFFF"/>
            <w:vAlign w:val="top"/>
          </w:tcPr>
          <w:p>
            <w:pPr>
              <w:pStyle w:val="TableText"/>
            </w:pPr>
            <w:r>
              <w:rPr>
                <w:sz w:val="18"/>
              </w:rPr>
              <w:t xml:space="preserve">Order-number final candidate/collision handling needs strengthening.</w:t>
            </w:r>
          </w:p>
        </w:tc>
        <w:tc>
          <w:tcPr>
            <w:tcW w:w="4420" w:type="dxa"/>
            <w:shd w:fill="FFFFFF"/>
            <w:vAlign w:val="top"/>
          </w:tcPr>
          <w:p>
            <w:pPr>
              <w:pStyle w:val="TableText"/>
            </w:pPr>
            <w:r>
              <w:rPr>
                <w:sz w:val="18"/>
              </w:rPr>
              <w:t xml:space="preserve">Forced insert-conflict retry test.</w:t>
            </w:r>
          </w:p>
        </w:tc>
      </w:tr>
      <w:tr>
        <w:trPr>
          <w:cantSplit/>
        </w:trPr>
        <w:tc>
          <w:tcPr>
            <w:tcW w:w="2300" w:type="dxa"/>
            <w:shd w:fill="F0F5F9"/>
            <w:vAlign w:val="top"/>
          </w:tcPr>
          <w:p>
            <w:pPr>
              <w:pStyle w:val="TableText"/>
            </w:pPr>
            <w:r>
              <w:rPr>
                <w:sz w:val="18"/>
              </w:rPr>
              <w:t xml:space="preserve">UX / API consistency</w:t>
            </w:r>
          </w:p>
        </w:tc>
        <w:tc>
          <w:tcPr>
            <w:tcW w:w="3050" w:type="dxa"/>
            <w:shd w:fill="F0F5F9"/>
            <w:vAlign w:val="top"/>
          </w:tcPr>
          <w:p>
            <w:pPr>
              <w:pStyle w:val="TableText"/>
            </w:pPr>
            <w:r>
              <w:rPr>
                <w:sz w:val="18"/>
              </w:rPr>
              <w:t xml:space="preserve">Low-stock filter includes out-of-stock rows; latent aggregate/coupon validation issues remain.</w:t>
            </w:r>
          </w:p>
        </w:tc>
        <w:tc>
          <w:tcPr>
            <w:tcW w:w="4420" w:type="dxa"/>
            <w:shd w:fill="F0F5F9"/>
            <w:vAlign w:val="top"/>
          </w:tcPr>
          <w:p>
            <w:pPr>
              <w:pStyle w:val="TableText"/>
            </w:pPr>
            <w:r>
              <w:rPr>
                <w:sz w:val="18"/>
              </w:rPr>
              <w:t xml:space="preserve">Agreed semantics and meaningful regression cases.</w:t>
            </w:r>
          </w:p>
        </w:tc>
      </w:tr>
      <w:tr>
        <w:trPr>
          <w:cantSplit/>
        </w:trPr>
        <w:tc>
          <w:tcPr>
            <w:tcW w:w="2300" w:type="dxa"/>
            <w:shd w:fill="FFFFFF"/>
            <w:vAlign w:val="top"/>
          </w:tcPr>
          <w:p>
            <w:pPr>
              <w:pStyle w:val="TableText"/>
            </w:pPr>
            <w:r>
              <w:rPr>
                <w:sz w:val="18"/>
              </w:rPr>
              <w:t xml:space="preserve">Dependency maintenance</w:t>
            </w:r>
          </w:p>
        </w:tc>
        <w:tc>
          <w:tcPr>
            <w:tcW w:w="3050" w:type="dxa"/>
            <w:shd w:fill="FFFFFF"/>
            <w:vAlign w:val="top"/>
          </w:tcPr>
          <w:p>
            <w:pPr>
              <w:pStyle w:val="TableText"/>
            </w:pPr>
            <w:r>
              <w:rPr>
                <w:sz w:val="18"/>
              </w:rPr>
              <w:t xml:space="preserve">Seven frontend development audit findings remain.</w:t>
            </w:r>
          </w:p>
        </w:tc>
        <w:tc>
          <w:tcPr>
            <w:tcW w:w="4420" w:type="dxa"/>
            <w:shd w:fill="FFFFFF"/>
            <w:vAlign w:val="top"/>
          </w:tcPr>
          <w:p>
            <w:pPr>
              <w:pStyle w:val="TableText"/>
            </w:pPr>
            <w:r>
              <w:rPr>
                <w:sz w:val="18"/>
              </w:rPr>
              <w:t xml:space="preserve">Tested compatible remediation or Tailwind migration; no blind forced major upgrade.</w:t>
            </w:r>
          </w:p>
        </w:tc>
      </w:tr>
      <w:tr>
        <w:trPr>
          <w:cantSplit/>
        </w:trPr>
        <w:tc>
          <w:tcPr>
            <w:tcW w:w="2300" w:type="dxa"/>
            <w:shd w:fill="F0F5F9"/>
            <w:vAlign w:val="top"/>
          </w:tcPr>
          <w:p>
            <w:pPr>
              <w:pStyle w:val="TableText"/>
            </w:pPr>
            <w:r>
              <w:rPr>
                <w:sz w:val="18"/>
              </w:rPr>
              <w:t xml:space="preserve">Operations / QA</w:t>
            </w:r>
          </w:p>
        </w:tc>
        <w:tc>
          <w:tcPr>
            <w:tcW w:w="3050" w:type="dxa"/>
            <w:shd w:fill="F0F5F9"/>
            <w:vAlign w:val="top"/>
          </w:tcPr>
          <w:p>
            <w:pPr>
              <w:pStyle w:val="TableText"/>
            </w:pPr>
            <w:r>
              <w:rPr>
                <w:sz w:val="18"/>
              </w:rPr>
              <w:t xml:space="preserve">Real bank, SMTP, OCI/TLS, offsite recovery, device and MySQL concurrency acceptance outstanding.</w:t>
            </w:r>
          </w:p>
        </w:tc>
        <w:tc>
          <w:tcPr>
            <w:tcW w:w="4420" w:type="dxa"/>
            <w:shd w:fill="F0F5F9"/>
            <w:vAlign w:val="top"/>
          </w:tcPr>
          <w:p>
            <w:pPr>
              <w:pStyle w:val="TableText"/>
            </w:pPr>
            <w:r>
              <w:rPr>
                <w:sz w:val="18"/>
              </w:rPr>
              <w:t xml:space="preserve">Recorded staging/real-service checks with approved accounts and environments.</w:t>
            </w:r>
          </w:p>
        </w:tc>
      </w:tr>
      <w:tr>
        <w:trPr>
          <w:cantSplit/>
        </w:trPr>
        <w:tc>
          <w:tcPr>
            <w:tcW w:w="2300" w:type="dxa"/>
            <w:shd w:fill="FFFFFF"/>
            <w:vAlign w:val="top"/>
          </w:tcPr>
          <w:p>
            <w:pPr>
              <w:pStyle w:val="TableText"/>
            </w:pPr>
            <w:r>
              <w:rPr>
                <w:sz w:val="18"/>
              </w:rPr>
              <w:t xml:space="preserve">Team documentation</w:t>
            </w:r>
          </w:p>
        </w:tc>
        <w:tc>
          <w:tcPr>
            <w:tcW w:w="3050" w:type="dxa"/>
            <w:shd w:fill="FFFFFF"/>
            <w:vAlign w:val="top"/>
          </w:tcPr>
          <w:p>
            <w:pPr>
              <w:pStyle w:val="TableText"/>
            </w:pPr>
            <w:r>
              <w:rPr>
                <w:sz w:val="18"/>
              </w:rPr>
              <w:t xml:space="preserve">Bootstrap/Tailwind guidance and some older schema/operating text are stale.</w:t>
            </w:r>
          </w:p>
        </w:tc>
        <w:tc>
          <w:tcPr>
            <w:tcW w:w="4420" w:type="dxa"/>
            <w:shd w:fill="FFFFFF"/>
            <w:vAlign w:val="top"/>
          </w:tcPr>
          <w:p>
            <w:pPr>
              <w:pStyle w:val="TableText"/>
            </w:pPr>
            <w:r>
              <w:rPr>
                <w:sz w:val="18"/>
              </w:rPr>
              <w:t xml:space="preserve">Reviewed agreement and updated source documentation.</w:t>
            </w:r>
          </w:p>
        </w:tc>
      </w:tr>
    </w:tbl>
    <w:p>
      <w:pPr>
        <w:pStyle w:val="Normal"/>
        <w:spacing w:after="60"/>
      </w:pPr>
    </w:p>
    <w:p>
      <w:pPr>
        <w:pStyle w:val="Normal"/>
      </w:pPr>
      <w:r>
        <w:rPr/>
        <w:t xml:space="preserve">Additional review items include effective MySQL indexes, CORS when origins differ and guest credential policy. Refer to </w:t>
      </w:r>
      <w:r>
        <w:rPr>
          <w:rFonts w:ascii="Consolas" w:hAnsi="Consolas"/>
          <w:sz w:val="19"/>
          <w:color w:val="155E75"/>
        </w:rPr>
        <w:t xml:space="preserve">docs/QA-REPORT.md</w:t>
      </w:r>
      <w:r>
        <w:rPr/>
        <w:t xml:space="preserve"> for original IDs, closure status and the evidence limitations.</w:t>
      </w:r>
    </w:p>
    <w:p>
      <w:pPr>
        <w:pStyle w:val="Heading2"/>
      </w:pPr>
      <w:r>
        <w:rPr/>
        <w:t xml:space="preserve">Troubleshooting</w:t>
      </w:r>
    </w:p>
    <w:tbl>
      <w:tblPr>
        <w:tblW w:w="9770" w:type="dxa"/>
        <w:tblLayout w:type="fixed"/>
        <w:tblCellMar>
          <w:top w:w="90" w:type="dxa"/>
          <w:left w:w="105" w:type="dxa"/>
          <w:bottom w:w="90" w:type="dxa"/>
          <w:right w:w="105" w:type="dxa"/>
        </w:tblCellMar>
        <w:tblBorders>
          <w:insideH w:val="single" w:sz="4" w:color="DCE5ED"/>
        </w:tblBorders>
      </w:tblPr>
      <w:tblGrid>
        <w:gridCol w:w="3100"/>
        <w:gridCol w:w="6670"/>
      </w:tblGrid>
      <w:tr>
        <w:trPr>
          <w:cantSplit/>
          <w:tblHeader/>
        </w:trPr>
        <w:tc>
          <w:tcPr>
            <w:tcW w:w="3100" w:type="dxa"/>
            <w:shd w:fill="16324F"/>
            <w:vAlign w:val="top"/>
          </w:tcPr>
          <w:p>
            <w:pPr>
              <w:pStyle w:val="TableText"/>
            </w:pPr>
            <w:r>
              <w:rPr>
                <w:sz w:val="18"/>
                <w:b/>
                <w:color w:val="FFFFFF"/>
              </w:rPr>
              <w:t xml:space="preserve">Symptom</w:t>
            </w:r>
          </w:p>
        </w:tc>
        <w:tc>
          <w:tcPr>
            <w:tcW w:w="6670" w:type="dxa"/>
            <w:shd w:fill="16324F"/>
            <w:vAlign w:val="top"/>
          </w:tcPr>
          <w:p>
            <w:pPr>
              <w:pStyle w:val="TableText"/>
            </w:pPr>
            <w:r>
              <w:rPr>
                <w:sz w:val="18"/>
                <w:b/>
                <w:color w:val="FFFFFF"/>
              </w:rPr>
              <w:t xml:space="preserve">First checks</w:t>
            </w:r>
          </w:p>
        </w:tc>
      </w:tr>
      <w:tr>
        <w:trPr>
          <w:cantSplit/>
        </w:trPr>
        <w:tc>
          <w:tcPr>
            <w:tcW w:w="3100" w:type="dxa"/>
            <w:shd w:fill="F0F5F9"/>
            <w:vAlign w:val="top"/>
          </w:tcPr>
          <w:p>
            <w:pPr>
              <w:pStyle w:val="TableText"/>
            </w:pPr>
            <w:r>
              <w:rPr>
                <w:sz w:val="18"/>
              </w:rPr>
              <w:t xml:space="preserve">Port 3307 already allocated</w:t>
            </w:r>
          </w:p>
        </w:tc>
        <w:tc>
          <w:tcPr>
            <w:tcW w:w="6670" w:type="dxa"/>
            <w:shd w:fill="F0F5F9"/>
            <w:vAlign w:val="top"/>
          </w:tcPr>
          <w:p>
            <w:pPr>
              <w:pStyle w:val="TableText"/>
            </w:pPr>
            <w:r>
              <w:rPr>
                <w:sz w:val="18"/>
              </w:rPr>
              <w:t xml:space="preserve">Inspect running Docker services/host listeners. Resolve the conflict or deliberately change only the host mapping; internal DB host remains </w:t>
            </w:r>
            <w:r>
              <w:rPr>
                <w:sz w:val="18"/>
                <w:rFonts w:ascii="Consolas" w:hAnsi="Consolas"/>
                <w:sz w:val="19"/>
                <w:color w:val="155E75"/>
              </w:rPr>
              <w:t xml:space="preserve">mysql:3306</w:t>
            </w:r>
            <w:r>
              <w:rPr>
                <w:sz w:val="18"/>
              </w:rPr>
              <w:t xml:space="preserve">. Do not stop unrelated services blindly.</w:t>
            </w:r>
          </w:p>
        </w:tc>
      </w:tr>
      <w:tr>
        <w:trPr>
          <w:cantSplit/>
        </w:trPr>
        <w:tc>
          <w:tcPr>
            <w:tcW w:w="3100" w:type="dxa"/>
            <w:shd w:fill="FFFFFF"/>
            <w:vAlign w:val="top"/>
          </w:tcPr>
          <w:p>
            <w:pPr>
              <w:pStyle w:val="TableText"/>
            </w:pPr>
            <w:r>
              <w:rPr>
                <w:sz w:val="18"/>
              </w:rPr>
              <w:t xml:space="preserve">Vite unavailable / API proxy fails</w:t>
            </w:r>
          </w:p>
        </w:tc>
        <w:tc>
          <w:tcPr>
            <w:tcW w:w="6670" w:type="dxa"/>
            <w:shd w:fill="FFFFFF"/>
            <w:vAlign w:val="top"/>
          </w:tcPr>
          <w:p>
            <w:pPr>
              <w:pStyle w:val="TableText"/>
            </w:pPr>
            <w:r>
              <w:rPr>
                <w:sz w:val="18"/>
              </w:rPr>
              <w:t xml:space="preserve">Check frontend readiness/logs, Nginx and app status. </w:t>
            </w:r>
            <w:r>
              <w:rPr>
                <w:sz w:val="18"/>
                <w:rFonts w:ascii="Consolas" w:hAnsi="Consolas"/>
                <w:sz w:val="19"/>
                <w:color w:val="155E75"/>
              </w:rPr>
              <w:t xml:space="preserve">VITE_PROXY_TARGET</w:t>
            </w:r>
            <w:r>
              <w:rPr>
                <w:sz w:val="18"/>
              </w:rPr>
              <w:t xml:space="preserve"> inside the frontend container should point to Nginx.</w:t>
            </w:r>
          </w:p>
        </w:tc>
      </w:tr>
      <w:tr>
        <w:trPr>
          <w:cantSplit/>
        </w:trPr>
        <w:tc>
          <w:tcPr>
            <w:tcW w:w="3100" w:type="dxa"/>
            <w:shd w:fill="F0F5F9"/>
            <w:vAlign w:val="top"/>
          </w:tcPr>
          <w:p>
            <w:pPr>
              <w:pStyle w:val="TableText"/>
            </w:pPr>
            <w:r>
              <w:rPr>
                <w:sz w:val="18"/>
              </w:rPr>
              <w:t xml:space="preserve">Missing PHP package/class</w:t>
            </w:r>
          </w:p>
        </w:tc>
        <w:tc>
          <w:tcPr>
            <w:tcW w:w="6670" w:type="dxa"/>
            <w:shd w:fill="F0F5F9"/>
            <w:vAlign w:val="top"/>
          </w:tcPr>
          <w:p>
            <w:pPr>
              <w:pStyle w:val="TableText"/>
            </w:pPr>
            <w:r>
              <w:rPr>
                <w:sz w:val="18"/>
              </w:rPr>
              <w:t xml:space="preserve">Run Composer inside app; app/worker/scheduler share </w:t>
            </w:r>
            <w:r>
              <w:rPr>
                <w:sz w:val="18"/>
                <w:rFonts w:ascii="Consolas" w:hAnsi="Consolas"/>
                <w:sz w:val="19"/>
                <w:color w:val="155E75"/>
              </w:rPr>
              <w:t xml:space="preserve">backend_vendor</w:t>
            </w:r>
            <w:r>
              <w:rPr>
                <w:sz w:val="18"/>
              </w:rPr>
              <w:t xml:space="preserve">, not the ignored host vendor directory.</w:t>
            </w:r>
          </w:p>
        </w:tc>
      </w:tr>
      <w:tr>
        <w:trPr>
          <w:cantSplit/>
        </w:trPr>
        <w:tc>
          <w:tcPr>
            <w:tcW w:w="3100" w:type="dxa"/>
            <w:shd w:fill="FFFFFF"/>
            <w:vAlign w:val="top"/>
          </w:tcPr>
          <w:p>
            <w:pPr>
              <w:pStyle w:val="TableText"/>
            </w:pPr>
            <w:r>
              <w:rPr>
                <w:sz w:val="18"/>
              </w:rPr>
              <w:t xml:space="preserve">Missing frontend package</w:t>
            </w:r>
          </w:p>
        </w:tc>
        <w:tc>
          <w:tcPr>
            <w:tcW w:w="6670" w:type="dxa"/>
            <w:shd w:fill="FFFFFF"/>
            <w:vAlign w:val="top"/>
          </w:tcPr>
          <w:p>
            <w:pPr>
              <w:pStyle w:val="TableText"/>
            </w:pPr>
            <w:r>
              <w:rPr>
                <w:sz w:val="18"/>
              </w:rPr>
              <w:t xml:space="preserve">Install through the frontend container and review the lock diff. Do not delete database volumes.</w:t>
            </w:r>
          </w:p>
        </w:tc>
      </w:tr>
      <w:tr>
        <w:trPr>
          <w:cantSplit/>
        </w:trPr>
        <w:tc>
          <w:tcPr>
            <w:tcW w:w="3100" w:type="dxa"/>
            <w:shd w:fill="F0F5F9"/>
            <w:vAlign w:val="top"/>
          </w:tcPr>
          <w:p>
            <w:pPr>
              <w:pStyle w:val="TableText"/>
            </w:pPr>
            <w:r>
              <w:rPr>
                <w:sz w:val="18"/>
              </w:rPr>
              <w:t xml:space="preserve">401 / 403</w:t>
            </w:r>
          </w:p>
        </w:tc>
        <w:tc>
          <w:tcPr>
            <w:tcW w:w="6670" w:type="dxa"/>
            <w:shd w:fill="F0F5F9"/>
            <w:vAlign w:val="top"/>
          </w:tcPr>
          <w:p>
            <w:pPr>
              <w:pStyle w:val="TableText"/>
            </w:pPr>
            <w:r>
              <w:rPr>
                <w:sz w:val="18"/>
              </w:rPr>
              <w:t xml:space="preserve">Check token expiry/current user, super-admin role or active shop membership; do not disable authorization to make a request work.</w:t>
            </w:r>
          </w:p>
        </w:tc>
      </w:tr>
      <w:tr>
        <w:trPr>
          <w:cantSplit/>
        </w:trPr>
        <w:tc>
          <w:tcPr>
            <w:tcW w:w="3100" w:type="dxa"/>
            <w:shd w:fill="FFFFFF"/>
            <w:vAlign w:val="top"/>
          </w:tcPr>
          <w:p>
            <w:pPr>
              <w:pStyle w:val="TableText"/>
            </w:pPr>
            <w:r>
              <w:rPr>
                <w:sz w:val="18"/>
              </w:rPr>
              <w:t xml:space="preserve">Images missing</w:t>
            </w:r>
          </w:p>
        </w:tc>
        <w:tc>
          <w:tcPr>
            <w:tcW w:w="6670" w:type="dxa"/>
            <w:shd w:fill="FFFFFF"/>
            <w:vAlign w:val="top"/>
          </w:tcPr>
          <w:p>
            <w:pPr>
              <w:pStyle w:val="TableText"/>
            </w:pPr>
            <w:r>
              <w:rPr>
                <w:sz w:val="18"/>
              </w:rPr>
              <w:t xml:space="preserve">Check local storage link, public disk URL/files, upload limits and production media mounts.</w:t>
            </w:r>
          </w:p>
        </w:tc>
      </w:tr>
      <w:tr>
        <w:trPr>
          <w:cantSplit/>
        </w:trPr>
        <w:tc>
          <w:tcPr>
            <w:tcW w:w="3100" w:type="dxa"/>
            <w:shd w:fill="F0F5F9"/>
            <w:vAlign w:val="top"/>
          </w:tcPr>
          <w:p>
            <w:pPr>
              <w:pStyle w:val="TableText"/>
            </w:pPr>
            <w:r>
              <w:rPr>
                <w:sz w:val="18"/>
              </w:rPr>
              <w:t xml:space="preserve">Camera denied / unavailable</w:t>
            </w:r>
          </w:p>
        </w:tc>
        <w:tc>
          <w:tcPr>
            <w:tcW w:w="6670" w:type="dxa"/>
            <w:shd w:fill="F0F5F9"/>
            <w:vAlign w:val="top"/>
          </w:tcPr>
          <w:p>
            <w:pPr>
              <w:pStyle w:val="TableText"/>
            </w:pPr>
            <w:r>
              <w:rPr>
                <w:sz w:val="18"/>
              </w:rPr>
              <w:t xml:space="preserve">Use HTTPS/localhost, allow permission, check another application is not holding the device and offer manual/scanner input.</w:t>
            </w:r>
          </w:p>
        </w:tc>
      </w:tr>
      <w:tr>
        <w:trPr>
          <w:cantSplit/>
        </w:trPr>
        <w:tc>
          <w:tcPr>
            <w:tcW w:w="3100" w:type="dxa"/>
            <w:shd w:fill="FFFFFF"/>
            <w:vAlign w:val="top"/>
          </w:tcPr>
          <w:p>
            <w:pPr>
              <w:pStyle w:val="TableText"/>
            </w:pPr>
            <w:r>
              <w:rPr>
                <w:sz w:val="18"/>
              </w:rPr>
              <w:t xml:space="preserve">Payment remains pending</w:t>
            </w:r>
          </w:p>
        </w:tc>
        <w:tc>
          <w:tcPr>
            <w:tcW w:w="6670" w:type="dxa"/>
            <w:shd w:fill="FFFFFF"/>
            <w:vAlign w:val="top"/>
          </w:tcPr>
          <w:p>
            <w:pPr>
              <w:pStyle w:val="TableText"/>
            </w:pPr>
            <w:r>
              <w:rPr>
                <w:sz w:val="18"/>
              </w:rPr>
              <w:t xml:space="preserve">Check all shop allocations, recipient settings, token/API availability and verification response; never manually mark an unverified transfer paid.</w:t>
            </w:r>
          </w:p>
        </w:tc>
      </w:tr>
      <w:tr>
        <w:trPr>
          <w:cantSplit/>
        </w:trPr>
        <w:tc>
          <w:tcPr>
            <w:tcW w:w="3100" w:type="dxa"/>
            <w:shd w:fill="F0F5F9"/>
            <w:vAlign w:val="top"/>
          </w:tcPr>
          <w:p>
            <w:pPr>
              <w:pStyle w:val="TableText"/>
            </w:pPr>
            <w:r>
              <w:rPr>
                <w:sz w:val="18"/>
              </w:rPr>
              <w:t xml:space="preserve">Reservation never expires / emails wait</w:t>
            </w:r>
          </w:p>
        </w:tc>
        <w:tc>
          <w:tcPr>
            <w:tcW w:w="6670" w:type="dxa"/>
            <w:shd w:fill="F0F5F9"/>
            <w:vAlign w:val="top"/>
          </w:tcPr>
          <w:p>
            <w:pPr>
              <w:pStyle w:val="TableText"/>
            </w:pPr>
            <w:r>
              <w:rPr>
                <w:sz w:val="18"/>
              </w:rPr>
              <w:t xml:space="preserve">Check scheduler/worker, queue driver and health heartbeats; distinguish log mail from real SMTP.</w:t>
            </w:r>
          </w:p>
        </w:tc>
      </w:tr>
      <w:tr>
        <w:trPr>
          <w:cantSplit/>
        </w:trPr>
        <w:tc>
          <w:tcPr>
            <w:tcW w:w="3100" w:type="dxa"/>
            <w:shd w:fill="FFFFFF"/>
            <w:vAlign w:val="top"/>
          </w:tcPr>
          <w:p>
            <w:pPr>
              <w:pStyle w:val="TableText"/>
            </w:pPr>
            <w:r>
              <w:rPr>
                <w:sz w:val="18"/>
              </w:rPr>
              <w:t xml:space="preserve">Stale schema</w:t>
            </w:r>
          </w:p>
        </w:tc>
        <w:tc>
          <w:tcPr>
            <w:tcW w:w="6670" w:type="dxa"/>
            <w:shd w:fill="FFFFFF"/>
            <w:vAlign w:val="top"/>
          </w:tcPr>
          <w:p>
            <w:pPr>
              <w:pStyle w:val="TableText"/>
            </w:pPr>
            <w:r>
              <w:rPr>
                <w:sz w:val="18"/>
              </w:rPr>
              <w:t xml:space="preserve">Check migration status and intended environment before applying pending migrations. Never use table-drop/reset commands as a routine repair.</w:t>
            </w:r>
          </w:p>
        </w:tc>
      </w:tr>
    </w:tbl>
    <w:p>
      <w:pPr>
        <w:pStyle w:val="Normal"/>
        <w:spacing w:after="60"/>
      </w:pPr>
    </w:p>
    <w:p>
      <w:pPr>
        <w:pStyle w:val="Heading2"/>
      </w:pPr>
      <w:r>
        <w:rPr/>
        <w:t xml:space="preserve">Handover checklist</w:t>
      </w:r>
    </w:p>
    <w:p>
      <w:pPr>
        <w:pStyle w:val="ListParagraph"/>
        <w:numPr>
          <w:ilvl w:val="0"/>
          <w:numId w:val="1"/>
        </w:numPr>
      </w:pPr>
      <w:r>
        <w:rPr/>
        <w:t xml:space="preserve">Assign named owners for backend, frontend, QA, bank operations, deployment and recovery; names are not inferred here.</w:t>
      </w:r>
    </w:p>
    <w:p>
      <w:pPr>
        <w:pStyle w:val="ListParagraph"/>
        <w:numPr>
          <w:ilvl w:val="0"/>
          <w:numId w:val="1"/>
        </w:numPr>
      </w:pPr>
      <w:r>
        <w:rPr/>
        <w:t xml:space="preserve">Each teammate can run the local stack, explain the role model and locate the main services.</w:t>
      </w:r>
    </w:p>
    <w:p>
      <w:pPr>
        <w:pStyle w:val="ListParagraph"/>
        <w:numPr>
          <w:ilvl w:val="0"/>
          <w:numId w:val="1"/>
        </w:numPr>
      </w:pPr>
      <w:r>
        <w:rPr/>
        <w:t xml:space="preserve">Keep the source baseline, source documentation and Word export synchronized after significant changes.</w:t>
      </w:r>
    </w:p>
    <w:p>
      <w:pPr>
        <w:pStyle w:val="ListParagraph"/>
        <w:numPr>
          <w:ilvl w:val="0"/>
          <w:numId w:val="1"/>
        </w:numPr>
      </w:pPr>
      <w:r>
        <w:rPr/>
        <w:t xml:space="preserve">Record outstanding acceptance checks and decisions in the team's existing project-management records.</w:t>
      </w:r>
    </w:p>
    <w:p>
      <w:pPr>
        <w:pStyle w:val="ListParagraph"/>
        <w:numPr>
          <w:ilvl w:val="0"/>
          <w:numId w:val="1"/>
        </w:numPr>
      </w:pPr>
      <w:r>
        <w:rPr/>
        <w:t xml:space="preserve">Complete the launch gates with evidence before declaring production readiness.</w:t>
      </w:r>
    </w:p>
    <w:p>
      <w:pPr>
        <w:pStyle w:val="Heading1"/>
      </w:pPr>
      <w:bookmarkStart w:id="18" w:name="chapter_18"/>
      <w:r>
        <w:rPr/>
        <w:t xml:space="preserve">18. Reference map and glossary</w:t>
      </w:r>
      <w:bookmarkEnd w:id="18"/>
    </w:p>
    <w:tbl>
      <w:tblPr>
        <w:tblW w:w="9770" w:type="dxa"/>
        <w:tblLayout w:type="fixed"/>
        <w:tblCellMar>
          <w:top w:w="90" w:type="dxa"/>
          <w:left w:w="105" w:type="dxa"/>
          <w:bottom w:w="90" w:type="dxa"/>
          <w:right w:w="105" w:type="dxa"/>
        </w:tblCellMar>
        <w:tblBorders>
          <w:insideH w:val="single" w:sz="4" w:color="DCE5ED"/>
        </w:tblBorders>
      </w:tblPr>
      <w:tblGrid>
        <w:gridCol w:w="3100"/>
        <w:gridCol w:w="6670"/>
      </w:tblGrid>
      <w:tr>
        <w:trPr>
          <w:cantSplit/>
          <w:tblHeader/>
        </w:trPr>
        <w:tc>
          <w:tcPr>
            <w:tcW w:w="3100" w:type="dxa"/>
            <w:shd w:fill="16324F"/>
            <w:vAlign w:val="top"/>
          </w:tcPr>
          <w:p>
            <w:pPr>
              <w:pStyle w:val="TableText"/>
            </w:pPr>
            <w:r>
              <w:rPr>
                <w:sz w:val="18"/>
                <w:b/>
                <w:color w:val="FFFFFF"/>
              </w:rPr>
              <w:t xml:space="preserve">Topic</w:t>
            </w:r>
          </w:p>
        </w:tc>
        <w:tc>
          <w:tcPr>
            <w:tcW w:w="6670" w:type="dxa"/>
            <w:shd w:fill="16324F"/>
            <w:vAlign w:val="top"/>
          </w:tcPr>
          <w:p>
            <w:pPr>
              <w:pStyle w:val="TableText"/>
            </w:pPr>
            <w:r>
              <w:rPr>
                <w:sz w:val="18"/>
                <w:b/>
                <w:color w:val="FFFFFF"/>
              </w:rPr>
              <w:t xml:space="preserve">Primary repository entry point</w:t>
            </w:r>
          </w:p>
        </w:tc>
      </w:tr>
      <w:tr>
        <w:trPr>
          <w:cantSplit/>
        </w:trPr>
        <w:tc>
          <w:tcPr>
            <w:tcW w:w="3100" w:type="dxa"/>
            <w:shd w:fill="F0F5F9"/>
            <w:vAlign w:val="top"/>
          </w:tcPr>
          <w:p>
            <w:pPr>
              <w:pStyle w:val="TableText"/>
            </w:pPr>
            <w:r>
              <w:rPr>
                <w:sz w:val="18"/>
              </w:rPr>
              <w:t xml:space="preserve">Project setup / docs index</w:t>
            </w:r>
          </w:p>
        </w:tc>
        <w:tc>
          <w:tcPr>
            <w:tcW w:w="6670" w:type="dxa"/>
            <w:shd w:fill="F0F5F9"/>
            <w:vAlign w:val="top"/>
          </w:tcPr>
          <w:p>
            <w:pPr>
              <w:pStyle w:val="TableText"/>
            </w:pPr>
            <w:hyperlink r:id="rId100">
              <w:r>
                <w:rPr>
                  <w:sz w:val="18"/>
                  <w:rStyle w:val="Hyperlink"/>
                </w:rPr>
                <w:t xml:space="preserve">Root README</w:t>
              </w:r>
            </w:hyperlink>
            <w:r>
              <w:rPr>
                <w:sz w:val="18"/>
              </w:rPr>
              <w:t xml:space="preserve">, </w:t>
            </w:r>
            <w:hyperlink r:id="rId101">
              <w:r>
                <w:rPr>
                  <w:sz w:val="18"/>
                  <w:rStyle w:val="Hyperlink"/>
                </w:rPr>
                <w:t xml:space="preserve">documentation index</w:t>
              </w:r>
            </w:hyperlink>
            <w:r>
              <w:rPr>
                <w:sz w:val="18"/>
              </w:rPr>
              <w:t xml:space="preserve">.</w:t>
            </w:r>
          </w:p>
        </w:tc>
      </w:tr>
      <w:tr>
        <w:trPr>
          <w:cantSplit/>
        </w:trPr>
        <w:tc>
          <w:tcPr>
            <w:tcW w:w="3100" w:type="dxa"/>
            <w:shd w:fill="FFFFFF"/>
            <w:vAlign w:val="top"/>
          </w:tcPr>
          <w:p>
            <w:pPr>
              <w:pStyle w:val="TableText"/>
            </w:pPr>
            <w:r>
              <w:rPr>
                <w:sz w:val="18"/>
              </w:rPr>
              <w:t xml:space="preserve">Routes and auth</w:t>
            </w:r>
          </w:p>
        </w:tc>
        <w:tc>
          <w:tcPr>
            <w:tcW w:w="6670" w:type="dxa"/>
            <w:shd w:fill="FFFFFF"/>
            <w:vAlign w:val="top"/>
          </w:tcPr>
          <w:p>
            <w:pPr>
              <w:pStyle w:val="TableText"/>
            </w:pPr>
            <w:hyperlink r:id="rId102">
              <w:r>
                <w:rPr>
                  <w:sz w:val="18"/>
                  <w:rStyle w:val="Hyperlink"/>
                </w:rPr>
                <w:t xml:space="preserve">API routes</w:t>
              </w:r>
            </w:hyperlink>
            <w:r>
              <w:rPr>
                <w:sz w:val="18"/>
              </w:rPr>
              <w:t xml:space="preserve">, </w:t>
            </w:r>
            <w:hyperlink r:id="rId103">
              <w:r>
                <w:rPr>
                  <w:sz w:val="18"/>
                  <w:rStyle w:val="Hyperlink"/>
                </w:rPr>
                <w:t xml:space="preserve">AuthController</w:t>
              </w:r>
            </w:hyperlink>
            <w:r>
              <w:rPr>
                <w:sz w:val="18"/>
              </w:rPr>
              <w:t xml:space="preserve">, </w:t>
            </w:r>
            <w:hyperlink r:id="rId104">
              <w:r>
                <w:rPr>
                  <w:sz w:val="18"/>
                  <w:rStyle w:val="Hyperlink"/>
                </w:rPr>
                <w:t xml:space="preserve">User model</w:t>
              </w:r>
            </w:hyperlink>
            <w:r>
              <w:rPr>
                <w:sz w:val="18"/>
              </w:rPr>
              <w:t xml:space="preserve">.</w:t>
            </w:r>
          </w:p>
        </w:tc>
      </w:tr>
      <w:tr>
        <w:trPr>
          <w:cantSplit/>
        </w:trPr>
        <w:tc>
          <w:tcPr>
            <w:tcW w:w="3100" w:type="dxa"/>
            <w:shd w:fill="F0F5F9"/>
            <w:vAlign w:val="top"/>
          </w:tcPr>
          <w:p>
            <w:pPr>
              <w:pStyle w:val="TableText"/>
            </w:pPr>
            <w:r>
              <w:rPr>
                <w:sz w:val="18"/>
              </w:rPr>
              <w:t xml:space="preserve">Shop authorization</w:t>
            </w:r>
          </w:p>
        </w:tc>
        <w:tc>
          <w:tcPr>
            <w:tcW w:w="6670" w:type="dxa"/>
            <w:shd w:fill="F0F5F9"/>
            <w:vAlign w:val="top"/>
          </w:tcPr>
          <w:p>
            <w:pPr>
              <w:pStyle w:val="TableText"/>
            </w:pPr>
            <w:hyperlink r:id="rId105">
              <w:r>
                <w:rPr>
                  <w:sz w:val="18"/>
                  <w:rStyle w:val="Hyperlink"/>
                </w:rPr>
                <w:t xml:space="preserve">EnsureManagedShop</w:t>
              </w:r>
            </w:hyperlink>
            <w:r>
              <w:rPr>
                <w:sz w:val="18"/>
              </w:rPr>
              <w:t xml:space="preserve">, </w:t>
            </w:r>
            <w:r>
              <w:rPr>
                <w:sz w:val="18"/>
                <w:rFonts w:ascii="Consolas" w:hAnsi="Consolas"/>
                <w:sz w:val="19"/>
                <w:color w:val="155E75"/>
              </w:rPr>
              <w:t xml:space="preserve">backend/app/Policies</w:t>
            </w:r>
            <w:r>
              <w:rPr>
                <w:sz w:val="18"/>
              </w:rPr>
              <w:t xml:space="preserve">.</w:t>
            </w:r>
          </w:p>
        </w:tc>
      </w:tr>
      <w:tr>
        <w:trPr>
          <w:cantSplit/>
        </w:trPr>
        <w:tc>
          <w:tcPr>
            <w:tcW w:w="3100" w:type="dxa"/>
            <w:shd w:fill="FFFFFF"/>
            <w:vAlign w:val="top"/>
          </w:tcPr>
          <w:p>
            <w:pPr>
              <w:pStyle w:val="TableText"/>
            </w:pPr>
            <w:r>
              <w:rPr>
                <w:sz w:val="18"/>
              </w:rPr>
              <w:t xml:space="preserve">Stock and checkout</w:t>
            </w:r>
          </w:p>
        </w:tc>
        <w:tc>
          <w:tcPr>
            <w:tcW w:w="6670" w:type="dxa"/>
            <w:shd w:fill="FFFFFF"/>
            <w:vAlign w:val="top"/>
          </w:tcPr>
          <w:p>
            <w:pPr>
              <w:pStyle w:val="TableText"/>
            </w:pPr>
            <w:hyperlink r:id="rId106">
              <w:r>
                <w:rPr>
                  <w:sz w:val="18"/>
                  <w:rStyle w:val="Hyperlink"/>
                </w:rPr>
                <w:t xml:space="preserve">InventoryService</w:t>
              </w:r>
            </w:hyperlink>
            <w:r>
              <w:rPr>
                <w:sz w:val="18"/>
              </w:rPr>
              <w:t xml:space="preserve">, </w:t>
            </w:r>
            <w:hyperlink r:id="rId107">
              <w:r>
                <w:rPr>
                  <w:sz w:val="18"/>
                  <w:rStyle w:val="Hyperlink"/>
                </w:rPr>
                <w:t xml:space="preserve">CheckoutService</w:t>
              </w:r>
            </w:hyperlink>
            <w:r>
              <w:rPr>
                <w:sz w:val="18"/>
              </w:rPr>
              <w:t xml:space="preserve">, </w:t>
            </w:r>
            <w:hyperlink r:id="rId108">
              <w:r>
                <w:rPr>
                  <w:sz w:val="18"/>
                  <w:rStyle w:val="Hyperlink"/>
                </w:rPr>
                <w:t xml:space="preserve">ShopOrderService</w:t>
              </w:r>
            </w:hyperlink>
            <w:r>
              <w:rPr>
                <w:sz w:val="18"/>
              </w:rPr>
              <w:t xml:space="preserve">.</w:t>
            </w:r>
          </w:p>
        </w:tc>
      </w:tr>
      <w:tr>
        <w:trPr>
          <w:cantSplit/>
        </w:trPr>
        <w:tc>
          <w:tcPr>
            <w:tcW w:w="3100" w:type="dxa"/>
            <w:shd w:fill="F0F5F9"/>
            <w:vAlign w:val="top"/>
          </w:tcPr>
          <w:p>
            <w:pPr>
              <w:pStyle w:val="TableText"/>
            </w:pPr>
            <w:r>
              <w:rPr>
                <w:sz w:val="18"/>
              </w:rPr>
              <w:t xml:space="preserve">Fulfillment / finance</w:t>
            </w:r>
          </w:p>
        </w:tc>
        <w:tc>
          <w:tcPr>
            <w:tcW w:w="6670" w:type="dxa"/>
            <w:shd w:fill="F0F5F9"/>
            <w:vAlign w:val="top"/>
          </w:tcPr>
          <w:p>
            <w:pPr>
              <w:pStyle w:val="TableText"/>
            </w:pPr>
            <w:hyperlink r:id="rId109">
              <w:r>
                <w:rPr>
                  <w:sz w:val="18"/>
                  <w:rStyle w:val="Hyperlink"/>
                </w:rPr>
                <w:t xml:space="preserve">OrderService</w:t>
              </w:r>
            </w:hyperlink>
            <w:r>
              <w:rPr>
                <w:sz w:val="18"/>
              </w:rPr>
              <w:t xml:space="preserve">, </w:t>
            </w:r>
            <w:hyperlink r:id="rId110">
              <w:r>
                <w:rPr>
                  <w:sz w:val="18"/>
                  <w:rStyle w:val="Hyperlink"/>
                </w:rPr>
                <w:t xml:space="preserve">ShopOrderFulfillmentService</w:t>
              </w:r>
            </w:hyperlink>
            <w:r>
              <w:rPr>
                <w:sz w:val="18"/>
              </w:rPr>
              <w:t xml:space="preserve">, </w:t>
            </w:r>
            <w:hyperlink r:id="rId111">
              <w:r>
                <w:rPr>
                  <w:sz w:val="18"/>
                  <w:rStyle w:val="Hyperlink"/>
                </w:rPr>
                <w:t xml:space="preserve">BakongService</w:t>
              </w:r>
            </w:hyperlink>
            <w:r>
              <w:rPr>
                <w:sz w:val="18"/>
              </w:rPr>
              <w:t xml:space="preserve">, </w:t>
            </w:r>
            <w:hyperlink r:id="rId112">
              <w:r>
                <w:rPr>
                  <w:sz w:val="18"/>
                  <w:rStyle w:val="Hyperlink"/>
                </w:rPr>
                <w:t xml:space="preserve">RefundService</w:t>
              </w:r>
            </w:hyperlink>
            <w:r>
              <w:rPr>
                <w:sz w:val="18"/>
              </w:rPr>
              <w:t xml:space="preserve">.</w:t>
            </w:r>
          </w:p>
        </w:tc>
      </w:tr>
      <w:tr>
        <w:trPr>
          <w:cantSplit/>
        </w:trPr>
        <w:tc>
          <w:tcPr>
            <w:tcW w:w="3100" w:type="dxa"/>
            <w:shd w:fill="FFFFFF"/>
            <w:vAlign w:val="top"/>
          </w:tcPr>
          <w:p>
            <w:pPr>
              <w:pStyle w:val="TableText"/>
            </w:pPr>
            <w:r>
              <w:rPr>
                <w:sz w:val="18"/>
              </w:rPr>
              <w:t xml:space="preserve">Returns / media</w:t>
            </w:r>
          </w:p>
        </w:tc>
        <w:tc>
          <w:tcPr>
            <w:tcW w:w="6670" w:type="dxa"/>
            <w:shd w:fill="FFFFFF"/>
            <w:vAlign w:val="top"/>
          </w:tcPr>
          <w:p>
            <w:pPr>
              <w:pStyle w:val="TableText"/>
            </w:pPr>
            <w:hyperlink r:id="rId113">
              <w:r>
                <w:rPr>
                  <w:sz w:val="18"/>
                  <w:rStyle w:val="Hyperlink"/>
                </w:rPr>
                <w:t xml:space="preserve">ReturnService</w:t>
              </w:r>
            </w:hyperlink>
            <w:r>
              <w:rPr>
                <w:sz w:val="18"/>
              </w:rPr>
              <w:t xml:space="preserve">, </w:t>
            </w:r>
            <w:hyperlink r:id="rId114">
              <w:r>
                <w:rPr>
                  <w:sz w:val="18"/>
                  <w:rStyle w:val="Hyperlink"/>
                </w:rPr>
                <w:t xml:space="preserve">MediaUploadService</w:t>
              </w:r>
            </w:hyperlink>
            <w:r>
              <w:rPr>
                <w:sz w:val="18"/>
              </w:rPr>
              <w:t xml:space="preserve">.</w:t>
            </w:r>
          </w:p>
        </w:tc>
      </w:tr>
      <w:tr>
        <w:trPr>
          <w:cantSplit/>
        </w:trPr>
        <w:tc>
          <w:tcPr>
            <w:tcW w:w="3100" w:type="dxa"/>
            <w:shd w:fill="F0F5F9"/>
            <w:vAlign w:val="top"/>
          </w:tcPr>
          <w:p>
            <w:pPr>
              <w:pStyle w:val="TableText"/>
            </w:pPr>
            <w:r>
              <w:rPr>
                <w:sz w:val="18"/>
              </w:rPr>
              <w:t xml:space="preserve">Seller UI</w:t>
            </w:r>
          </w:p>
        </w:tc>
        <w:tc>
          <w:tcPr>
            <w:tcW w:w="6670" w:type="dxa"/>
            <w:shd w:fill="F0F5F9"/>
            <w:vAlign w:val="top"/>
          </w:tcPr>
          <w:p>
            <w:pPr>
              <w:pStyle w:val="TableText"/>
            </w:pPr>
            <w:hyperlink r:id="rId115">
              <w:r>
                <w:rPr>
                  <w:sz w:val="18"/>
                  <w:rStyle w:val="Hyperlink"/>
                </w:rPr>
                <w:t xml:space="preserve">Product form</w:t>
              </w:r>
            </w:hyperlink>
            <w:r>
              <w:rPr>
                <w:sz w:val="18"/>
              </w:rPr>
              <w:t xml:space="preserve">, </w:t>
            </w:r>
            <w:hyperlink r:id="rId116">
              <w:r>
                <w:rPr>
                  <w:sz w:val="18"/>
                  <w:rStyle w:val="Hyperlink"/>
                </w:rPr>
                <w:t xml:space="preserve">barcode field</w:t>
              </w:r>
            </w:hyperlink>
            <w:r>
              <w:rPr>
                <w:sz w:val="18"/>
              </w:rPr>
              <w:t xml:space="preserve">, </w:t>
            </w:r>
            <w:hyperlink r:id="rId117">
              <w:r>
                <w:rPr>
                  <w:sz w:val="18"/>
                  <w:rStyle w:val="Hyperlink"/>
                </w:rPr>
                <w:t xml:space="preserve">scanner worker</w:t>
              </w:r>
            </w:hyperlink>
            <w:r>
              <w:rPr>
                <w:sz w:val="18"/>
              </w:rPr>
              <w:t xml:space="preserve">.</w:t>
            </w:r>
          </w:p>
        </w:tc>
      </w:tr>
      <w:tr>
        <w:trPr>
          <w:cantSplit/>
        </w:trPr>
        <w:tc>
          <w:tcPr>
            <w:tcW w:w="3100" w:type="dxa"/>
            <w:shd w:fill="FFFFFF"/>
            <w:vAlign w:val="top"/>
          </w:tcPr>
          <w:p>
            <w:pPr>
              <w:pStyle w:val="TableText"/>
            </w:pPr>
            <w:r>
              <w:rPr>
                <w:sz w:val="18"/>
              </w:rPr>
              <w:t xml:space="preserve">Frontend integration</w:t>
            </w:r>
          </w:p>
        </w:tc>
        <w:tc>
          <w:tcPr>
            <w:tcW w:w="6670" w:type="dxa"/>
            <w:shd w:fill="FFFFFF"/>
            <w:vAlign w:val="top"/>
          </w:tcPr>
          <w:p>
            <w:pPr>
              <w:pStyle w:val="TableText"/>
            </w:pPr>
            <w:hyperlink r:id="rId118">
              <w:r>
                <w:rPr>
                  <w:sz w:val="18"/>
                  <w:rStyle w:val="Hyperlink"/>
                </w:rPr>
                <w:t xml:space="preserve">Router</w:t>
              </w:r>
            </w:hyperlink>
            <w:r>
              <w:rPr>
                <w:sz w:val="18"/>
              </w:rPr>
              <w:t xml:space="preserve">, </w:t>
            </w:r>
            <w:hyperlink r:id="rId119">
              <w:r>
                <w:rPr>
                  <w:sz w:val="18"/>
                  <w:rStyle w:val="Hyperlink"/>
                </w:rPr>
                <w:t xml:space="preserve">Axios client</w:t>
              </w:r>
            </w:hyperlink>
            <w:r>
              <w:rPr>
                <w:sz w:val="18"/>
              </w:rPr>
              <w:t xml:space="preserve">, </w:t>
            </w:r>
            <w:hyperlink r:id="rId120">
              <w:r>
                <w:rPr>
                  <w:sz w:val="18"/>
                  <w:rStyle w:val="Hyperlink"/>
                </w:rPr>
                <w:t xml:space="preserve">frontend guide</w:t>
              </w:r>
            </w:hyperlink>
            <w:r>
              <w:rPr>
                <w:sz w:val="18"/>
              </w:rPr>
              <w:t xml:space="preserve">.</w:t>
            </w:r>
          </w:p>
        </w:tc>
      </w:tr>
      <w:tr>
        <w:trPr>
          <w:cantSplit/>
        </w:trPr>
        <w:tc>
          <w:tcPr>
            <w:tcW w:w="3100" w:type="dxa"/>
            <w:shd w:fill="F0F5F9"/>
            <w:vAlign w:val="top"/>
          </w:tcPr>
          <w:p>
            <w:pPr>
              <w:pStyle w:val="TableText"/>
            </w:pPr>
            <w:r>
              <w:rPr>
                <w:sz w:val="18"/>
              </w:rPr>
              <w:t xml:space="preserve">Schema and demo data</w:t>
            </w:r>
          </w:p>
        </w:tc>
        <w:tc>
          <w:tcPr>
            <w:tcW w:w="6670" w:type="dxa"/>
            <w:shd w:fill="F0F5F9"/>
            <w:vAlign w:val="top"/>
          </w:tcPr>
          <w:p>
            <w:pPr>
              <w:pStyle w:val="TableText"/>
            </w:pPr>
            <w:r>
              <w:rPr>
                <w:sz w:val="18"/>
                <w:rFonts w:ascii="Consolas" w:hAnsi="Consolas"/>
                <w:sz w:val="19"/>
                <w:color w:val="155E75"/>
              </w:rPr>
              <w:t xml:space="preserve">backend/database/migrations</w:t>
            </w:r>
            <w:r>
              <w:rPr>
                <w:sz w:val="18"/>
              </w:rPr>
              <w:t xml:space="preserve">, </w:t>
            </w:r>
            <w:hyperlink r:id="rId121">
              <w:r>
                <w:rPr>
                  <w:sz w:val="18"/>
                  <w:rStyle w:val="Hyperlink"/>
                </w:rPr>
                <w:t xml:space="preserve">DatabaseSeeder</w:t>
              </w:r>
            </w:hyperlink>
            <w:r>
              <w:rPr>
                <w:sz w:val="18"/>
              </w:rPr>
              <w:t xml:space="preserve">, </w:t>
            </w:r>
            <w:hyperlink r:id="rId122">
              <w:r>
                <w:rPr>
                  <w:sz w:val="18"/>
                  <w:rStyle w:val="Hyperlink"/>
                </w:rPr>
                <w:t xml:space="preserve">DatabaseSeederTest</w:t>
              </w:r>
            </w:hyperlink>
            <w:r>
              <w:rPr>
                <w:sz w:val="18"/>
              </w:rPr>
              <w:t xml:space="preserve">.</w:t>
            </w:r>
          </w:p>
        </w:tc>
      </w:tr>
      <w:tr>
        <w:trPr>
          <w:cantSplit/>
        </w:trPr>
        <w:tc>
          <w:tcPr>
            <w:tcW w:w="3100" w:type="dxa"/>
            <w:shd w:fill="FFFFFF"/>
            <w:vAlign w:val="top"/>
          </w:tcPr>
          <w:p>
            <w:pPr>
              <w:pStyle w:val="TableText"/>
            </w:pPr>
            <w:r>
              <w:rPr>
                <w:sz w:val="18"/>
              </w:rPr>
              <w:t xml:space="preserve">Test/QA evidence</w:t>
            </w:r>
          </w:p>
        </w:tc>
        <w:tc>
          <w:tcPr>
            <w:tcW w:w="6670" w:type="dxa"/>
            <w:shd w:fill="FFFFFF"/>
            <w:vAlign w:val="top"/>
          </w:tcPr>
          <w:p>
            <w:pPr>
              <w:pStyle w:val="TableText"/>
            </w:pPr>
            <w:hyperlink r:id="rId123">
              <w:r>
                <w:rPr>
                  <w:sz w:val="18"/>
                  <w:rStyle w:val="Hyperlink"/>
                </w:rPr>
                <w:t xml:space="preserve">QA report</w:t>
              </w:r>
            </w:hyperlink>
            <w:r>
              <w:rPr>
                <w:sz w:val="18"/>
              </w:rPr>
              <w:t xml:space="preserve">, </w:t>
            </w:r>
            <w:hyperlink r:id="rId124">
              <w:r>
                <w:rPr>
                  <w:sz w:val="18"/>
                  <w:rStyle w:val="Hyperlink"/>
                </w:rPr>
                <w:t xml:space="preserve">browser suite</w:t>
              </w:r>
            </w:hyperlink>
            <w:r>
              <w:rPr>
                <w:sz w:val="18"/>
              </w:rPr>
              <w:t xml:space="preserve">, </w:t>
            </w:r>
            <w:hyperlink r:id="rId125">
              <w:r>
                <w:rPr>
                  <w:sz w:val="18"/>
                  <w:rStyle w:val="Hyperlink"/>
                </w:rPr>
                <w:t xml:space="preserve">CI workflow</w:t>
              </w:r>
            </w:hyperlink>
            <w:r>
              <w:rPr>
                <w:sz w:val="18"/>
              </w:rPr>
              <w:t xml:space="preserve">.</w:t>
            </w:r>
          </w:p>
        </w:tc>
      </w:tr>
      <w:tr>
        <w:trPr>
          <w:cantSplit/>
        </w:trPr>
        <w:tc>
          <w:tcPr>
            <w:tcW w:w="3100" w:type="dxa"/>
            <w:shd w:fill="F0F5F9"/>
            <w:vAlign w:val="top"/>
          </w:tcPr>
          <w:p>
            <w:pPr>
              <w:pStyle w:val="TableText"/>
            </w:pPr>
            <w:r>
              <w:rPr>
                <w:sz w:val="18"/>
              </w:rPr>
              <w:t xml:space="preserve">Operations</w:t>
            </w:r>
          </w:p>
        </w:tc>
        <w:tc>
          <w:tcPr>
            <w:tcW w:w="6670" w:type="dxa"/>
            <w:shd w:fill="F0F5F9"/>
            <w:vAlign w:val="top"/>
          </w:tcPr>
          <w:p>
            <w:pPr>
              <w:pStyle w:val="TableText"/>
            </w:pPr>
            <w:hyperlink r:id="rId126">
              <w:r>
                <w:rPr>
                  <w:sz w:val="18"/>
                  <w:rStyle w:val="Hyperlink"/>
                </w:rPr>
                <w:t xml:space="preserve">Console schedule</w:t>
              </w:r>
            </w:hyperlink>
            <w:r>
              <w:rPr>
                <w:sz w:val="18"/>
              </w:rPr>
              <w:t xml:space="preserve">, </w:t>
            </w:r>
            <w:hyperlink r:id="rId127">
              <w:r>
                <w:rPr>
                  <w:sz w:val="18"/>
                  <w:rStyle w:val="Hyperlink"/>
                </w:rPr>
                <w:t xml:space="preserve">deployment guide</w:t>
              </w:r>
            </w:hyperlink>
            <w:r>
              <w:rPr>
                <w:sz w:val="18"/>
              </w:rPr>
              <w:t xml:space="preserve">, </w:t>
            </w:r>
            <w:hyperlink r:id="rId128">
              <w:r>
                <w:rPr>
                  <w:sz w:val="18"/>
                  <w:rStyle w:val="Hyperlink"/>
                </w:rPr>
                <w:t xml:space="preserve">commerce guide</w:t>
              </w:r>
            </w:hyperlink>
            <w:r>
              <w:rPr>
                <w:sz w:val="18"/>
              </w:rPr>
              <w:t xml:space="preserve">.</w:t>
            </w:r>
          </w:p>
        </w:tc>
      </w:tr>
      <w:tr>
        <w:trPr>
          <w:cantSplit/>
        </w:trPr>
        <w:tc>
          <w:tcPr>
            <w:tcW w:w="3100" w:type="dxa"/>
            <w:shd w:fill="FFFFFF"/>
            <w:vAlign w:val="top"/>
          </w:tcPr>
          <w:p>
            <w:pPr>
              <w:pStyle w:val="TableText"/>
            </w:pPr>
            <w:r>
              <w:rPr>
                <w:sz w:val="18"/>
              </w:rPr>
              <w:t xml:space="preserve">Existing detailed guides</w:t>
            </w:r>
          </w:p>
        </w:tc>
        <w:tc>
          <w:tcPr>
            <w:tcW w:w="6670" w:type="dxa"/>
            <w:shd w:fill="FFFFFF"/>
            <w:vAlign w:val="top"/>
          </w:tcPr>
          <w:p>
            <w:pPr>
              <w:pStyle w:val="TableText"/>
            </w:pPr>
            <w:hyperlink r:id="rId129">
              <w:r>
                <w:rPr>
                  <w:sz w:val="18"/>
                  <w:rStyle w:val="Hyperlink"/>
                </w:rPr>
                <w:t xml:space="preserve">Architecture</w:t>
              </w:r>
            </w:hyperlink>
            <w:r>
              <w:rPr>
                <w:sz w:val="18"/>
              </w:rPr>
              <w:t xml:space="preserve">, </w:t>
            </w:r>
            <w:hyperlink r:id="rId130">
              <w:r>
                <w:rPr>
                  <w:sz w:val="18"/>
                  <w:rStyle w:val="Hyperlink"/>
                </w:rPr>
                <w:t xml:space="preserve">API reference</w:t>
              </w:r>
            </w:hyperlink>
            <w:r>
              <w:rPr>
                <w:sz w:val="18"/>
              </w:rPr>
              <w:t xml:space="preserve">, </w:t>
            </w:r>
            <w:hyperlink r:id="rId131">
              <w:r>
                <w:rPr>
                  <w:sz w:val="18"/>
                  <w:rStyle w:val="Hyperlink"/>
                </w:rPr>
                <w:t xml:space="preserve">development workflow</w:t>
              </w:r>
            </w:hyperlink>
            <w:r>
              <w:rPr>
                <w:sz w:val="18"/>
              </w:rPr>
              <w:t xml:space="preserve">, </w:t>
            </w:r>
            <w:hyperlink r:id="rId132">
              <w:r>
                <w:rPr>
                  <w:sz w:val="18"/>
                  <w:rStyle w:val="Hyperlink"/>
                </w:rPr>
                <w:t xml:space="preserve">project management</w:t>
              </w:r>
            </w:hyperlink>
            <w:r>
              <w:rPr>
                <w:sz w:val="18"/>
              </w:rPr>
              <w:t xml:space="preserve">.</w:t>
            </w:r>
          </w:p>
        </w:tc>
      </w:tr>
    </w:tbl>
    <w:p>
      <w:pPr>
        <w:pStyle w:val="Normal"/>
        <w:spacing w:after="60"/>
      </w:pPr>
    </w:p>
    <w:p>
      <w:pPr>
        <w:pStyle w:val="Normal"/>
      </w:pPr>
      <w:r>
        <w:rPr/>
        <w:t xml:space="preserve">Some existing guides contain older sections. When they conflict, inspect the current source and the dated QA report; for example, stock can now be edited through the seller product form while still using the inventory ledger.</w:t>
      </w:r>
    </w:p>
    <w:tbl>
      <w:tblPr>
        <w:tblW w:w="9770" w:type="dxa"/>
        <w:tblLayout w:type="fixed"/>
        <w:tblCellMar>
          <w:top w:w="90" w:type="dxa"/>
          <w:left w:w="105" w:type="dxa"/>
          <w:bottom w:w="90" w:type="dxa"/>
          <w:right w:w="105" w:type="dxa"/>
        </w:tblCellMar>
        <w:tblBorders>
          <w:insideH w:val="single" w:sz="4" w:color="DCE5ED"/>
        </w:tblBorders>
      </w:tblPr>
      <w:tblGrid>
        <w:gridCol w:w="3100"/>
        <w:gridCol w:w="6670"/>
      </w:tblGrid>
      <w:tr>
        <w:trPr>
          <w:cantSplit/>
          <w:tblHeader/>
        </w:trPr>
        <w:tc>
          <w:tcPr>
            <w:tcW w:w="3100" w:type="dxa"/>
            <w:shd w:fill="16324F"/>
            <w:vAlign w:val="top"/>
          </w:tcPr>
          <w:p>
            <w:pPr>
              <w:pStyle w:val="TableText"/>
            </w:pPr>
            <w:r>
              <w:rPr>
                <w:sz w:val="18"/>
                <w:b/>
                <w:color w:val="FFFFFF"/>
              </w:rPr>
              <w:t xml:space="preserve">Term</w:t>
            </w:r>
          </w:p>
        </w:tc>
        <w:tc>
          <w:tcPr>
            <w:tcW w:w="6670" w:type="dxa"/>
            <w:shd w:fill="16324F"/>
            <w:vAlign w:val="top"/>
          </w:tcPr>
          <w:p>
            <w:pPr>
              <w:pStyle w:val="TableText"/>
            </w:pPr>
            <w:r>
              <w:rPr>
                <w:sz w:val="18"/>
                <w:b/>
                <w:color w:val="FFFFFF"/>
              </w:rPr>
              <w:t xml:space="preserve">Meaning in this project</w:t>
            </w:r>
          </w:p>
        </w:tc>
      </w:tr>
      <w:tr>
        <w:trPr>
          <w:cantSplit/>
        </w:trPr>
        <w:tc>
          <w:tcPr>
            <w:tcW w:w="3100" w:type="dxa"/>
            <w:shd w:fill="F0F5F9"/>
            <w:vAlign w:val="top"/>
          </w:tcPr>
          <w:p>
            <w:pPr>
              <w:pStyle w:val="TableText"/>
            </w:pPr>
            <w:r>
              <w:rPr>
                <w:sz w:val="18"/>
              </w:rPr>
              <w:t xml:space="preserve">Product / variant</w:t>
            </w:r>
          </w:p>
        </w:tc>
        <w:tc>
          <w:tcPr>
            <w:tcW w:w="6670" w:type="dxa"/>
            <w:shd w:fill="F0F5F9"/>
            <w:vAlign w:val="top"/>
          </w:tcPr>
          <w:p>
            <w:pPr>
              <w:pStyle w:val="TableText"/>
            </w:pPr>
            <w:r>
              <w:rPr>
                <w:sz w:val="18"/>
              </w:rPr>
              <w:t xml:space="preserve">Public listing / exact sellable option with stock and SKU.</w:t>
            </w:r>
          </w:p>
        </w:tc>
      </w:tr>
      <w:tr>
        <w:trPr>
          <w:cantSplit/>
        </w:trPr>
        <w:tc>
          <w:tcPr>
            <w:tcW w:w="3100" w:type="dxa"/>
            <w:shd w:fill="FFFFFF"/>
            <w:vAlign w:val="top"/>
          </w:tcPr>
          <w:p>
            <w:pPr>
              <w:pStyle w:val="TableText"/>
            </w:pPr>
            <w:r>
              <w:rPr>
                <w:sz w:val="18"/>
              </w:rPr>
              <w:t xml:space="preserve">EAV</w:t>
            </w:r>
          </w:p>
        </w:tc>
        <w:tc>
          <w:tcPr>
            <w:tcW w:w="6670" w:type="dxa"/>
            <w:shd w:fill="FFFFFF"/>
            <w:vAlign w:val="top"/>
          </w:tcPr>
          <w:p>
            <w:pPr>
              <w:pStyle w:val="TableText"/>
            </w:pPr>
            <w:r>
              <w:rPr>
                <w:sz w:val="18"/>
              </w:rPr>
              <w:t xml:space="preserve">Attribute/value/link tables used to model options such as color and size.</w:t>
            </w:r>
          </w:p>
        </w:tc>
      </w:tr>
      <w:tr>
        <w:trPr>
          <w:cantSplit/>
        </w:trPr>
        <w:tc>
          <w:tcPr>
            <w:tcW w:w="3100" w:type="dxa"/>
            <w:shd w:fill="F0F5F9"/>
            <w:vAlign w:val="top"/>
          </w:tcPr>
          <w:p>
            <w:pPr>
              <w:pStyle w:val="TableText"/>
            </w:pPr>
            <w:r>
              <w:rPr>
                <w:sz w:val="18"/>
              </w:rPr>
              <w:t xml:space="preserve">On hand / reserved / available</w:t>
            </w:r>
          </w:p>
        </w:tc>
        <w:tc>
          <w:tcPr>
            <w:tcW w:w="6670" w:type="dxa"/>
            <w:shd w:fill="F0F5F9"/>
            <w:vAlign w:val="top"/>
          </w:tcPr>
          <w:p>
            <w:pPr>
              <w:pStyle w:val="TableText"/>
            </w:pPr>
            <w:r>
              <w:rPr>
                <w:sz w:val="18"/>
              </w:rPr>
              <w:t xml:space="preserve">Physical total / held for checkout / total minus reservations.</w:t>
            </w:r>
          </w:p>
        </w:tc>
      </w:tr>
      <w:tr>
        <w:trPr>
          <w:cantSplit/>
        </w:trPr>
        <w:tc>
          <w:tcPr>
            <w:tcW w:w="3100" w:type="dxa"/>
            <w:shd w:fill="FFFFFF"/>
            <w:vAlign w:val="top"/>
          </w:tcPr>
          <w:p>
            <w:pPr>
              <w:pStyle w:val="TableText"/>
            </w:pPr>
            <w:r>
              <w:rPr>
                <w:sz w:val="18"/>
              </w:rPr>
              <w:t xml:space="preserve">Parent order / allocation</w:t>
            </w:r>
          </w:p>
        </w:tc>
        <w:tc>
          <w:tcPr>
            <w:tcW w:w="6670" w:type="dxa"/>
            <w:shd w:fill="FFFFFF"/>
            <w:vAlign w:val="top"/>
          </w:tcPr>
          <w:p>
            <w:pPr>
              <w:pStyle w:val="TableText"/>
            </w:pPr>
            <w:r>
              <w:rPr>
                <w:sz w:val="18"/>
              </w:rPr>
              <w:t xml:space="preserve">Customer purchase / one shop's financial and fulfillment portion.</w:t>
            </w:r>
          </w:p>
        </w:tc>
      </w:tr>
      <w:tr>
        <w:trPr>
          <w:cantSplit/>
        </w:trPr>
        <w:tc>
          <w:tcPr>
            <w:tcW w:w="3100" w:type="dxa"/>
            <w:shd w:fill="F0F5F9"/>
            <w:vAlign w:val="top"/>
          </w:tcPr>
          <w:p>
            <w:pPr>
              <w:pStyle w:val="TableText"/>
            </w:pPr>
            <w:r>
              <w:rPr>
                <w:sz w:val="18"/>
              </w:rPr>
              <w:t xml:space="preserve">Snapshot</w:t>
            </w:r>
          </w:p>
        </w:tc>
        <w:tc>
          <w:tcPr>
            <w:tcW w:w="6670" w:type="dxa"/>
            <w:shd w:fill="F0F5F9"/>
            <w:vAlign w:val="top"/>
          </w:tcPr>
          <w:p>
            <w:pPr>
              <w:pStyle w:val="TableText"/>
            </w:pPr>
            <w:r>
              <w:rPr>
                <w:sz w:val="18"/>
              </w:rPr>
              <w:t xml:space="preserve">Transaction-time copy preserved despite later catalog/profile changes.</w:t>
            </w:r>
          </w:p>
        </w:tc>
      </w:tr>
      <w:tr>
        <w:trPr>
          <w:cantSplit/>
        </w:trPr>
        <w:tc>
          <w:tcPr>
            <w:tcW w:w="3100" w:type="dxa"/>
            <w:shd w:fill="FFFFFF"/>
            <w:vAlign w:val="top"/>
          </w:tcPr>
          <w:p>
            <w:pPr>
              <w:pStyle w:val="TableText"/>
            </w:pPr>
            <w:r>
              <w:rPr>
                <w:sz w:val="18"/>
              </w:rPr>
              <w:t xml:space="preserve">Idempotency</w:t>
            </w:r>
          </w:p>
        </w:tc>
        <w:tc>
          <w:tcPr>
            <w:tcW w:w="6670" w:type="dxa"/>
            <w:shd w:fill="FFFFFF"/>
            <w:vAlign w:val="top"/>
          </w:tcPr>
          <w:p>
            <w:pPr>
              <w:pStyle w:val="TableText"/>
            </w:pPr>
            <w:r>
              <w:rPr>
                <w:sz w:val="18"/>
              </w:rPr>
              <w:t xml:space="preserve">Repeating the same keyed request returns its existing outcome.</w:t>
            </w:r>
          </w:p>
        </w:tc>
      </w:tr>
      <w:tr>
        <w:trPr>
          <w:cantSplit/>
        </w:trPr>
        <w:tc>
          <w:tcPr>
            <w:tcW w:w="3100" w:type="dxa"/>
            <w:shd w:fill="F0F5F9"/>
            <w:vAlign w:val="top"/>
          </w:tcPr>
          <w:p>
            <w:pPr>
              <w:pStyle w:val="TableText"/>
            </w:pPr>
            <w:r>
              <w:rPr>
                <w:sz w:val="18"/>
              </w:rPr>
              <w:t xml:space="preserve">Sanctum token</w:t>
            </w:r>
          </w:p>
        </w:tc>
        <w:tc>
          <w:tcPr>
            <w:tcW w:w="6670" w:type="dxa"/>
            <w:shd w:fill="F0F5F9"/>
            <w:vAlign w:val="top"/>
          </w:tcPr>
          <w:p>
            <w:pPr>
              <w:pStyle w:val="TableText"/>
            </w:pPr>
            <w:r>
              <w:rPr>
                <w:sz w:val="18"/>
              </w:rPr>
              <w:t xml:space="preserve">Revocable bearer credential issued by Laravel for API authentication.</w:t>
            </w:r>
          </w:p>
        </w:tc>
      </w:tr>
      <w:tr>
        <w:trPr>
          <w:cantSplit/>
        </w:trPr>
        <w:tc>
          <w:tcPr>
            <w:tcW w:w="3100" w:type="dxa"/>
            <w:shd w:fill="FFFFFF"/>
            <w:vAlign w:val="top"/>
          </w:tcPr>
          <w:p>
            <w:pPr>
              <w:pStyle w:val="TableText"/>
            </w:pPr>
            <w:r>
              <w:rPr>
                <w:sz w:val="18"/>
              </w:rPr>
              <w:t xml:space="preserve">KHQR / Bakong</w:t>
            </w:r>
          </w:p>
        </w:tc>
        <w:tc>
          <w:tcPr>
            <w:tcW w:w="6670" w:type="dxa"/>
            <w:shd w:fill="FFFFFF"/>
            <w:vAlign w:val="top"/>
          </w:tcPr>
          <w:p>
            <w:pPr>
              <w:pStyle w:val="TableText"/>
            </w:pPr>
            <w:r>
              <w:rPr>
                <w:sz w:val="18"/>
              </w:rPr>
              <w:t xml:space="preserve">QR payment payload / bank integration used to verify direct seller receipts.</w:t>
            </w:r>
          </w:p>
        </w:tc>
      </w:tr>
      <w:tr>
        <w:trPr>
          <w:cantSplit/>
        </w:trPr>
        <w:tc>
          <w:tcPr>
            <w:tcW w:w="3100" w:type="dxa"/>
            <w:shd w:fill="F0F5F9"/>
            <w:vAlign w:val="top"/>
          </w:tcPr>
          <w:p>
            <w:pPr>
              <w:pStyle w:val="TableText"/>
            </w:pPr>
            <w:r>
              <w:rPr>
                <w:sz w:val="18"/>
              </w:rPr>
              <w:t xml:space="preserve">Reconciliation</w:t>
            </w:r>
          </w:p>
        </w:tc>
        <w:tc>
          <w:tcPr>
            <w:tcW w:w="6670" w:type="dxa"/>
            <w:shd w:fill="F0F5F9"/>
            <w:vAlign w:val="top"/>
          </w:tcPr>
          <w:p>
            <w:pPr>
              <w:pStyle w:val="TableText"/>
            </w:pPr>
            <w:r>
              <w:rPr>
                <w:sz w:val="18"/>
              </w:rPr>
              <w:t xml:space="preserve">Checking external receipts against persisted expected payments.</w:t>
            </w:r>
          </w:p>
        </w:tc>
      </w:tr>
      <w:tr>
        <w:trPr>
          <w:cantSplit/>
        </w:trPr>
        <w:tc>
          <w:tcPr>
            <w:tcW w:w="3100" w:type="dxa"/>
            <w:shd w:fill="FFFFFF"/>
            <w:vAlign w:val="top"/>
          </w:tcPr>
          <w:p>
            <w:pPr>
              <w:pStyle w:val="TableText"/>
            </w:pPr>
            <w:r>
              <w:rPr>
                <w:sz w:val="18"/>
              </w:rPr>
              <w:t xml:space="preserve">Refund ledger</w:t>
            </w:r>
          </w:p>
        </w:tc>
        <w:tc>
          <w:tcPr>
            <w:tcW w:w="6670" w:type="dxa"/>
            <w:shd w:fill="FFFFFF"/>
            <w:vAlign w:val="top"/>
          </w:tcPr>
          <w:p>
            <w:pPr>
              <w:pStyle w:val="TableText"/>
            </w:pPr>
            <w:r>
              <w:rPr>
                <w:sz w:val="18"/>
              </w:rPr>
              <w:t xml:space="preserve">Audited evidence of a verified bank/cash refund, not a transfer engine.</w:t>
            </w:r>
          </w:p>
        </w:tc>
      </w:tr>
      <w:tr>
        <w:trPr>
          <w:cantSplit/>
        </w:trPr>
        <w:tc>
          <w:tcPr>
            <w:tcW w:w="3100" w:type="dxa"/>
            <w:shd w:fill="F0F5F9"/>
            <w:vAlign w:val="top"/>
          </w:tcPr>
          <w:p>
            <w:pPr>
              <w:pStyle w:val="TableText"/>
            </w:pPr>
            <w:r>
              <w:rPr>
                <w:sz w:val="18"/>
              </w:rPr>
              <w:t xml:space="preserve">Worker / scheduler</w:t>
            </w:r>
          </w:p>
        </w:tc>
        <w:tc>
          <w:tcPr>
            <w:tcW w:w="6670" w:type="dxa"/>
            <w:shd w:fill="F0F5F9"/>
            <w:vAlign w:val="top"/>
          </w:tcPr>
          <w:p>
            <w:pPr>
              <w:pStyle w:val="TableText"/>
            </w:pPr>
            <w:r>
              <w:rPr>
                <w:sz w:val="18"/>
              </w:rPr>
              <w:t xml:space="preserve">Process queued work / trigger recurring maintenance.</w:t>
            </w:r>
          </w:p>
        </w:tc>
      </w:tr>
      <w:tr>
        <w:trPr>
          <w:cantSplit/>
        </w:trPr>
        <w:tc>
          <w:tcPr>
            <w:tcW w:w="3100" w:type="dxa"/>
            <w:shd w:fill="FFFFFF"/>
            <w:vAlign w:val="top"/>
          </w:tcPr>
          <w:p>
            <w:pPr>
              <w:pStyle w:val="TableText"/>
            </w:pPr>
            <w:r>
              <w:rPr>
                <w:sz w:val="18"/>
              </w:rPr>
              <w:t xml:space="preserve">Migration / seeder / factory</w:t>
            </w:r>
          </w:p>
        </w:tc>
        <w:tc>
          <w:tcPr>
            <w:tcW w:w="6670" w:type="dxa"/>
            <w:shd w:fill="FFFFFF"/>
            <w:vAlign w:val="top"/>
          </w:tcPr>
          <w:p>
            <w:pPr>
              <w:pStyle w:val="TableText"/>
            </w:pPr>
            <w:r>
              <w:rPr>
                <w:sz w:val="18"/>
              </w:rPr>
              <w:t xml:space="preserve">Version schema / replace demo data / create test records.</w:t>
            </w:r>
          </w:p>
        </w:tc>
      </w:tr>
    </w:tbl>
    <w:p>
      <w:pPr>
        <w:pStyle w:val="Normal"/>
        <w:spacing w:after="60"/>
      </w:pPr>
    </w:p>
    <w:p>
      <w:pPr>
        <w:pStyle w:val="Normal"/>
      </w:pPr>
      <w:r>
        <w:rPr/>
        <w:t xml:space="preserve">End of handover. Update this source and the Word export together when the implementation or acceptance status changes.</w:t>
      </w:r>
    </w:p>
    <w:sectPr>
      <w:headerReference w:type="default" r:id="rId3"/>
      <w:footerReference w:type="default" r:id="rId4"/>
      <w:pgSz w:w="11906" w:h="16838"/>
      <w:pgMar w:top="1080" w:right="1068" w:bottom="1080" w:left="1068" w:header="500" w:footer="500"/>
      <w:titlePg/>
    </w:sectPr>
  </w:body>
</w:document>
</file>

<file path=word/footer1.xml><?xml version="1.0" encoding="utf-8"?>
<w:ftr xmlns:w="http://schemas.openxmlformats.org/wordprocessingml/2006/main" xmlns:r="http://schemas.openxmlformats.org/officeDocument/2006/relationships">
  <w:p>
    <w:pPr>
      <w:jc w:val="right"/>
    </w:pPr>
    <w:r>
      <w:rPr>
        <w:sz w:val="17"/>
        <w:color w:val="52677C"/>
      </w:rPr>
      <w:t xml:space="preserve">19 October 2026  •  </w:t>
    </w:r>
    <w:fldSimple w:instr="PAGE">
      <w:r>
        <w:t>1</w:t>
      </w:r>
    </w:fldSimple>
  </w:p>
</w:ftr>
</file>

<file path=word/header1.xml><?xml version="1.0" encoding="utf-8"?>
<w:hdr xmlns:w="http://schemas.openxmlformats.org/wordprocessingml/2006/main" xmlns:r="http://schemas.openxmlformats.org/officeDocument/2006/relationships">
  <w:p>
    <w:pPr>
      <w:pStyle w:val="Small"/>
      <w:pBdr>
        <w:bottom w:val="single" w:sz="5" w:color="CBD8E5"/>
      </w:pBdr>
    </w:pPr>
    <w:r>
      <w:rPr/>
      <w:t xml:space="preserve">E-KHMER  |  TEAM HANDOVER</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320"/>
        </w:tabs>
        <w:ind w:left="320" w:hanging="220"/>
      </w:pPr>
    </w:lvl>
  </w:abstractNum>
  <w:abstractNum w:abstractNumId="1">
    <w:multiLevelType w:val="singleLevel"/>
    <w:lvl w:ilvl="0">
      <w:start w:val="1"/>
      <w:numFmt w:val="decimal"/>
      <w:lvlText w:val="%1."/>
      <w:lvlJc w:val="left"/>
      <w:pPr>
        <w:ind w:left="360" w:hanging="300"/>
      </w:pPr>
    </w:lvl>
  </w:abstractNum>
  <w:num w:numId="1">
    <w:abstractNumId w:val="0"/>
  </w:num>
  <w:num w:numId="2">
    <w:abstractNumId w:val="1"/>
    <w:lvlOverride w:ilvl="0">
      <w:startOverride w:val="1"/>
    </w:lvlOverride>
  </w:num>
</w:numbering>
</file>

<file path=word/settings.xml><?xml version="1.0" encoding="utf-8"?>
<w:settings xmlns:w="http://schemas.openxmlformats.org/wordprocessingml/2006/main">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2"/>
        <w:lang w:val="en-US"/>
      </w:rPr>
    </w:rPrDefault>
  </w:docDefaults>
  <w:style w:type="paragraph" w:styleId="Normal">
    <w:name w:val="Normal"/>
    <w:pPr>
      <w:spacing w:after="135" w:line="280" w:lineRule="auto"/>
      <w:widowControl/>
    </w:pPr>
    <w:rPr>
      <w:color w:val="25364A"/>
      <w:sz w:val="22"/>
    </w:rPr>
  </w:style>
  <w:style w:type="paragraph" w:styleId="Title">
    <w:name w:val="Title"/>
    <w:basedOn w:val="Normal"/>
    <w:pPr>
      <w:spacing w:before="200" w:after="300"/>
    </w:pPr>
    <w:rPr>
      <w:color w:val="16324F"/>
      <w:sz w:val="64"/>
      <w:b/>
    </w:rPr>
  </w:style>
  <w:style w:type="paragraph" w:styleId="Subtitle">
    <w:name w:val="Subtitle"/>
    <w:basedOn w:val="Normal"/>
    <w:pPr>
      <w:spacing w:after="600"/>
    </w:pPr>
    <w:rPr>
      <w:color w:val="155E75"/>
      <w:sz w:val="30"/>
    </w:rPr>
  </w:style>
  <w:style w:type="paragraph" w:styleId="CoverEyebrow">
    <w:name w:val="CoverEyebrow"/>
    <w:basedOn w:val="Normal"/>
    <w:pPr>
      <w:spacing w:before="1100" w:after="150"/>
    </w:pPr>
    <w:rPr>
      <w:color w:val="155E75"/>
      <w:sz w:val="28"/>
      <w:b/>
      <w:spacing w:val="70"/>
    </w:rPr>
  </w:style>
  <w:style w:type="paragraph" w:styleId="CoverMeta">
    <w:name w:val="CoverMeta"/>
    <w:basedOn w:val="Normal"/>
    <w:pPr>
      <w:spacing w:before="200" w:after="260"/>
    </w:pPr>
    <w:rPr>
      <w:color w:val="52677C"/>
      <w:sz w:val="21"/>
    </w:rPr>
  </w:style>
  <w:style w:type="paragraph" w:styleId="Heading1">
    <w:name w:val="Heading1"/>
    <w:basedOn w:val="Normal"/>
    <w:pPr>
      <w:pageBreakBefore/>
      <w:keepNext/>
      <w:keepLines/>
      <w:outlineLvl w:val="0"/>
      <w:spacing w:before="120" w:after="260"/>
    </w:pPr>
    <w:rPr>
      <w:color w:val="16324F"/>
      <w:sz w:val="36"/>
      <w:b/>
    </w:rPr>
  </w:style>
  <w:style w:type="paragraph" w:styleId="Heading2">
    <w:name w:val="Heading2"/>
    <w:basedOn w:val="Normal"/>
    <w:pPr>
      <w:keepNext/>
      <w:keepLines/>
      <w:outlineLvl w:val="1"/>
      <w:spacing w:before="280" w:after="120"/>
    </w:pPr>
    <w:rPr>
      <w:color w:val="155E75"/>
      <w:sz w:val="26"/>
      <w:b/>
    </w:rPr>
  </w:style>
  <w:style w:type="paragraph" w:styleId="ContentsTitle">
    <w:name w:val="ContentsTitle"/>
    <w:basedOn w:val="Normal"/>
    <w:pPr>
      <w:keepNext/>
      <w:spacing w:after="260"/>
    </w:pPr>
    <w:rPr>
      <w:color w:val="16324F"/>
      <w:sz w:val="36"/>
      <w:b/>
    </w:rPr>
  </w:style>
  <w:style w:type="paragraph" w:styleId="ContentsEntry">
    <w:name w:val="ContentsEntry"/>
    <w:basedOn w:val="Normal"/>
    <w:pPr>
      <w:spacing w:after="120"/>
    </w:pPr>
    <w:rPr>
      <w:color w:val="16324F"/>
      <w:sz w:val="22"/>
    </w:rPr>
  </w:style>
  <w:style w:type="paragraph" w:styleId="Small">
    <w:name w:val="Small"/>
    <w:basedOn w:val="Normal"/>
    <w:pPr>
      <w:spacing w:after="150"/>
    </w:pPr>
    <w:rPr>
      <w:color w:val="52677C"/>
      <w:sz w:val="18"/>
    </w:rPr>
  </w:style>
  <w:style w:type="paragraph" w:styleId="TableText">
    <w:name w:val="TableText"/>
    <w:basedOn w:val="Normal"/>
    <w:pPr>
      <w:spacing w:after="30" w:line="230" w:lineRule="auto"/>
    </w:pPr>
    <w:rPr>
      <w:color w:val="25364A"/>
      <w:sz w:val="18"/>
    </w:rPr>
  </w:style>
  <w:style w:type="paragraph" w:styleId="CodeBlock">
    <w:name w:val="CodeBlock"/>
    <w:basedOn w:val="Normal"/>
    <w:pPr>
      <w:spacing w:after="0" w:line="210" w:lineRule="auto"/>
      <w:ind w:left="150" w:right="150"/>
      <w:shd w:fill="F0F5F9"/>
    </w:pPr>
    <w:rPr>
      <w:color w:val="25364A"/>
      <w:sz w:val="17"/>
      <w:rFonts w:ascii="Consolas" w:hAnsi="Consolas"/>
    </w:rPr>
  </w:style>
  <w:style w:type="paragraph" w:styleId="ListParagraph">
    <w:name w:val="ListParagraph"/>
    <w:basedOn w:val="Normal"/>
    <w:pPr>
      <w:spacing w:after="100"/>
    </w:pPr>
    <w:rPr>
      <w:color w:val="25364A"/>
      <w:sz w:val="22"/>
    </w:rPr>
  </w:style>
  <w:style w:type="character" w:styleId="Hyperlink">
    <w:name w:val="Hyperlink"/>
    <w:basedOn w:val="DefaultParagraphFont"/>
    <w:pPr/>
    <w:rPr>
      <w:color w:val="087A91"/>
      <w:sz w:val="22"/>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 Id="rId100" Type="http://schemas.openxmlformats.org/officeDocument/2006/relationships/hyperlink" Target="../README.md" TargetMode="External"/><Relationship Id="rId101" Type="http://schemas.openxmlformats.org/officeDocument/2006/relationships/hyperlink" Target="./README.md" TargetMode="External"/><Relationship Id="rId102" Type="http://schemas.openxmlformats.org/officeDocument/2006/relationships/hyperlink" Target="../backend/routes/api.php" TargetMode="External"/><Relationship Id="rId103" Type="http://schemas.openxmlformats.org/officeDocument/2006/relationships/hyperlink" Target="../backend/app/Http/Controllers/Api/AuthController.php" TargetMode="External"/><Relationship Id="rId104" Type="http://schemas.openxmlformats.org/officeDocument/2006/relationships/hyperlink" Target="../backend/app/Models/User.php" TargetMode="External"/><Relationship Id="rId105" Type="http://schemas.openxmlformats.org/officeDocument/2006/relationships/hyperlink" Target="../backend/app/Http/Middleware/EnsureManagedShop.php" TargetMode="External"/><Relationship Id="rId106" Type="http://schemas.openxmlformats.org/officeDocument/2006/relationships/hyperlink" Target="../backend/app/Services/InventoryService.php" TargetMode="External"/><Relationship Id="rId107" Type="http://schemas.openxmlformats.org/officeDocument/2006/relationships/hyperlink" Target="../backend/app/Services/CheckoutService.php" TargetMode="External"/><Relationship Id="rId108" Type="http://schemas.openxmlformats.org/officeDocument/2006/relationships/hyperlink" Target="../backend/app/Services/ShopOrderService.php" TargetMode="External"/><Relationship Id="rId109" Type="http://schemas.openxmlformats.org/officeDocument/2006/relationships/hyperlink" Target="../backend/app/Services/OrderService.php" TargetMode="External"/><Relationship Id="rId110" Type="http://schemas.openxmlformats.org/officeDocument/2006/relationships/hyperlink" Target="../backend/app/Services/ShopOrderFulfillmentService.php" TargetMode="External"/><Relationship Id="rId111" Type="http://schemas.openxmlformats.org/officeDocument/2006/relationships/hyperlink" Target="../backend/app/Services/BakongService.php" TargetMode="External"/><Relationship Id="rId112" Type="http://schemas.openxmlformats.org/officeDocument/2006/relationships/hyperlink" Target="../backend/app/Services/RefundService.php" TargetMode="External"/><Relationship Id="rId113" Type="http://schemas.openxmlformats.org/officeDocument/2006/relationships/hyperlink" Target="../backend/app/Services/ReturnService.php" TargetMode="External"/><Relationship Id="rId114" Type="http://schemas.openxmlformats.org/officeDocument/2006/relationships/hyperlink" Target="../backend/app/Services/MediaUploadService.php" TargetMode="External"/><Relationship Id="rId115" Type="http://schemas.openxmlformats.org/officeDocument/2006/relationships/hyperlink" Target="../frontend/src/views/seller/SellerProductFormView.vue" TargetMode="External"/><Relationship Id="rId116" Type="http://schemas.openxmlformats.org/officeDocument/2006/relationships/hyperlink" Target="../frontend/src/components/seller/SellerBarcodeField.vue" TargetMode="External"/><Relationship Id="rId117" Type="http://schemas.openxmlformats.org/officeDocument/2006/relationships/hyperlink" Target="../frontend/src/workers/barcodeScanner.worker.ts" TargetMode="External"/><Relationship Id="rId118" Type="http://schemas.openxmlformats.org/officeDocument/2006/relationships/hyperlink" Target="../frontend/src/router/index.ts" TargetMode="External"/><Relationship Id="rId119" Type="http://schemas.openxmlformats.org/officeDocument/2006/relationships/hyperlink" Target="../frontend/src/api/client.ts" TargetMode="External"/><Relationship Id="rId120" Type="http://schemas.openxmlformats.org/officeDocument/2006/relationships/hyperlink" Target="./FRONTEND.md" TargetMode="External"/><Relationship Id="rId121" Type="http://schemas.openxmlformats.org/officeDocument/2006/relationships/hyperlink" Target="../backend/database/seeders/DatabaseSeeder.php" TargetMode="External"/><Relationship Id="rId122" Type="http://schemas.openxmlformats.org/officeDocument/2006/relationships/hyperlink" Target="../backend/tests/Feature/DatabaseSeederTest.php" TargetMode="External"/><Relationship Id="rId123" Type="http://schemas.openxmlformats.org/officeDocument/2006/relationships/hyperlink" Target="./QA-REPORT.md" TargetMode="External"/><Relationship Id="rId124" Type="http://schemas.openxmlformats.org/officeDocument/2006/relationships/hyperlink" Target="../frontend/tests/e2e/commerce.spec.ts" TargetMode="External"/><Relationship Id="rId125" Type="http://schemas.openxmlformats.org/officeDocument/2006/relationships/hyperlink" Target="../.github/workflows/ci.yml" TargetMode="External"/><Relationship Id="rId126" Type="http://schemas.openxmlformats.org/officeDocument/2006/relationships/hyperlink" Target="../backend/routes/console.php" TargetMode="External"/><Relationship Id="rId127" Type="http://schemas.openxmlformats.org/officeDocument/2006/relationships/hyperlink" Target="./ORACLE-CLOUD.md" TargetMode="External"/><Relationship Id="rId128" Type="http://schemas.openxmlformats.org/officeDocument/2006/relationships/hyperlink" Target="./COMMERCE-COMPLETION.md" TargetMode="External"/><Relationship Id="rId129" Type="http://schemas.openxmlformats.org/officeDocument/2006/relationships/hyperlink" Target="./ARCHITECTURE.md" TargetMode="External"/><Relationship Id="rId130" Type="http://schemas.openxmlformats.org/officeDocument/2006/relationships/hyperlink" Target="./API-REFERENCE.md" TargetMode="External"/><Relationship Id="rId131" Type="http://schemas.openxmlformats.org/officeDocument/2006/relationships/hyperlink" Target="./DEVELOPMENT.md" TargetMode="External"/><Relationship Id="rId132" Type="http://schemas.openxmlformats.org/officeDocument/2006/relationships/hyperlink" Target="./project-management/README.md"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E-KHMER Team Handover</dc:title>
  <dc:subject>Project implementation, onboarding and operations</dc:subject>
  <dc:creator>E-KHMER Project Team</dc:creator>
  <dc:description>Source: docs/TEAM-HANDOVER.md; SHA-256: 093c30e9ff6cffc54db558fb4588d8c43491f746c3a29bb969bdf8b1a3e559fd; baseline: f950a779c0517472ac62321beda890db0639dfc5</dc:description>
  <dcterms:created xsi:type="dcterms:W3CDTF">2026-10-19T00:00:00Z</dcterms:created>
</cp:coreProperties>
</file>