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папку и файл на языке Ассемблер в ней с помощью Midnight Commander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принимающий на вход строку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запускаем Midnight Commander(рис.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2415068"/>
            <wp:effectExtent b="0" l="0" r="0" t="0"/>
            <wp:docPr descr="Figure 1: Вызов Midnight Commander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Вызов Midnight Commander</w:t>
      </w:r>
    </w:p>
    <w:bookmarkEnd w:id="0"/>
    <w:p>
      <w:pPr>
        <w:pStyle w:val="BodyText"/>
      </w:pPr>
      <w:r>
        <w:t xml:space="preserve">Переходим в каталог курса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2086485"/>
            <wp:effectExtent b="0" l="0" r="0" t="0"/>
            <wp:docPr descr="Figure 2: Каталог курса в Midnight Commander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Каталог курса в Midnight Commander</w:t>
      </w:r>
    </w:p>
    <w:bookmarkEnd w:id="0"/>
    <w:p>
      <w:pPr>
        <w:pStyle w:val="BodyText"/>
      </w:pPr>
      <w:r>
        <w:t xml:space="preserve">Создаем папку для пятой лабораторной работы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2086485"/>
            <wp:effectExtent b="0" l="0" r="0" t="0"/>
            <wp:docPr descr="Figure 3: Окно создания папки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Окно создания папки</w:t>
      </w:r>
    </w:p>
    <w:bookmarkEnd w:id="0"/>
    <w:p>
      <w:pPr>
        <w:pStyle w:val="BodyText"/>
      </w:pPr>
      <w:r>
        <w:t xml:space="preserve">Создаем файл lab5-1.asm в новой папке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2189098"/>
            <wp:effectExtent b="0" l="0" r="0" t="0"/>
            <wp:docPr descr="Figure 4: Окно создания файла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Окно создания файла</w:t>
      </w:r>
    </w:p>
    <w:bookmarkEnd w:id="0"/>
    <w:p>
      <w:pPr>
        <w:pStyle w:val="BodyText"/>
      </w:pPr>
      <w:r>
        <w:t xml:space="preserve">Записываем код в файл в редакторе mcedit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2395542"/>
            <wp:effectExtent b="0" l="0" r="0" t="0"/>
            <wp:docPr descr="Figure 5: Файл в редакторе mcedit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 в редакторе mcedit</w:t>
      </w:r>
    </w:p>
    <w:bookmarkEnd w:id="0"/>
    <w:p>
      <w:pPr>
        <w:pStyle w:val="BodyText"/>
      </w:pPr>
      <w:r>
        <w:t xml:space="preserve">Проверяем файл в режиме просмотра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2395542"/>
            <wp:effectExtent b="0" l="0" r="0" t="0"/>
            <wp:docPr descr="Figure 6: Файл в режиме просмотра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 в режиме просмотра</w:t>
      </w:r>
    </w:p>
    <w:bookmarkEnd w:id="0"/>
    <w:p>
      <w:pPr>
        <w:pStyle w:val="BodyText"/>
      </w:pPr>
      <w:r>
        <w:t xml:space="preserve">Выполняем линковку и компоновку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2189098"/>
            <wp:effectExtent b="0" l="0" r="0" t="0"/>
            <wp:docPr descr="Figure 7: Линковка и компоновк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Линковка и компоновка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4" w:name="fig:fig8"/>
      <w:r>
        <w:drawing>
          <wp:inline>
            <wp:extent cx="2451100" cy="685800"/>
            <wp:effectExtent b="0" l="0" r="0" t="0"/>
            <wp:docPr descr="Figure 8: Работа пер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Работа первой программы</w:t>
      </w:r>
    </w:p>
    <w:bookmarkEnd w:id="0"/>
    <w:p>
      <w:pPr>
        <w:pStyle w:val="BodyText"/>
      </w:pPr>
      <w:r>
        <w:t xml:space="preserve">Переименовываем файл в lab5-1.asm(рис.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8" w:name="fig:fig9"/>
      <w:r>
        <w:drawing>
          <wp:inline>
            <wp:extent cx="5334000" cy="2395542"/>
            <wp:effectExtent b="0" l="0" r="0" t="0"/>
            <wp:docPr descr="Figure 9: Окно замены файла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Окно замены файла</w:t>
      </w:r>
    </w:p>
    <w:bookmarkEnd w:id="0"/>
    <w:p>
      <w:pPr>
        <w:pStyle w:val="BodyText"/>
      </w:pPr>
      <w:r>
        <w:t xml:space="preserve">Записываем код второй программы в файл(рис.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2" w:name="fig:fig10"/>
      <w:r>
        <w:drawing>
          <wp:inline>
            <wp:extent cx="5334000" cy="2395542"/>
            <wp:effectExtent b="0" l="0" r="0" t="0"/>
            <wp:docPr descr="Figure 10: Код второй программы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Код второй программы</w:t>
      </w:r>
    </w:p>
    <w:bookmarkEnd w:id="0"/>
    <w:p>
      <w:pPr>
        <w:pStyle w:val="BodyText"/>
      </w:pPr>
      <w:r>
        <w:t xml:space="preserve">Результат работы второй программы(рис.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4914900" cy="1181100"/>
            <wp:effectExtent b="0" l="0" r="0" t="0"/>
            <wp:docPr descr="Figure 11: Вторая программа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Вторая программа</w:t>
      </w:r>
    </w:p>
    <w:bookmarkEnd w:id="0"/>
    <w:p>
      <w:pPr>
        <w:pStyle w:val="BodyText"/>
      </w:pPr>
      <w:r>
        <w:t xml:space="preserve">Результат работы измененной второй программы. Теперь ввод текста происходит на строке с текстовым сообщением, а не на новой строке(рис.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4914900" cy="1181100"/>
            <wp:effectExtent b="0" l="0" r="0" t="0"/>
            <wp:docPr descr="Figure 12: Измененная вторая программа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Измененная вторая программа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работу с Midnight Commander и научились использовать команды int и mov языка Assembler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Бунин Арсений Викторович</dc:creator>
  <dc:language>ru-RU</dc:language>
  <cp:keywords/>
  <dcterms:created xsi:type="dcterms:W3CDTF">2024-01-25T14:58:53Z</dcterms:created>
  <dcterms:modified xsi:type="dcterms:W3CDTF">2024-01-25T14:58:53Z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. 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