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92.png" ContentType="image/png"/>
  <Override PartName="/word/media/rId88.png" ContentType="image/png"/>
  <Override PartName="/word/media/rId100.png" ContentType="image/png"/>
  <Override PartName="/word/media/rId27.png" ContentType="image/png"/>
  <Override PartName="/word/media/rId96.png" ContentType="image/png"/>
  <Override PartName="/word/media/rId104.png" ContentType="image/png"/>
  <Override PartName="/word/media/rId112.png" ContentType="image/png"/>
  <Override PartName="/word/media/rId10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Выполнить индивидуальное задание по отладке программы на Ассемблере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  <w:r>
        <w:t xml:space="preserve"> </w:t>
      </w:r>
      <w:r>
        <w:t xml:space="preserve">* начать выполнение программы, задав всё, что может повлиять на её поведение;</w:t>
      </w:r>
      <w:r>
        <w:t xml:space="preserve"> </w:t>
      </w:r>
      <w:r>
        <w:t xml:space="preserve">* остановить программу при указанных условиях;</w:t>
      </w:r>
      <w:r>
        <w:t xml:space="preserve"> </w:t>
      </w:r>
      <w:r>
        <w:t xml:space="preserve">* исследовать, что случилось, когда программа остановилась;</w:t>
      </w:r>
      <w:r>
        <w:t xml:space="preserve"> </w:t>
      </w:r>
      <w:r>
        <w:t xml:space="preserve">* изменить программу так, чтобы можно было поэкспериментировать с устранением</w:t>
      </w:r>
      <w:r>
        <w:t xml:space="preserve"> </w:t>
      </w:r>
      <w:r>
        <w:t xml:space="preserve">эффектов одной ошибки и продолжить выявление других.</w:t>
      </w:r>
    </w:p>
    <w:p>
      <w:pPr>
        <w:pStyle w:val="BodyText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  <w:r>
        <w:t xml:space="preserve"> </w:t>
      </w: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Запустили исполняемый файл в отладчике gdb(рис.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2878666"/>
            <wp:effectExtent b="0" l="0" r="0" t="0"/>
            <wp:docPr descr="Figure 1: Запуск отладчика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отладчика</w:t>
      </w:r>
    </w:p>
    <w:bookmarkEnd w:id="0"/>
    <w:p>
      <w:pPr>
        <w:pStyle w:val="BodyText"/>
      </w:pPr>
      <w:r>
        <w:t xml:space="preserve">Проверили работу программы в отладчике(рис.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1519011"/>
            <wp:effectExtent b="0" l="0" r="0" t="0"/>
            <wp:docPr descr="Figure 2: 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работы программы</w:t>
      </w:r>
    </w:p>
    <w:bookmarkEnd w:id="0"/>
    <w:p>
      <w:pPr>
        <w:pStyle w:val="BodyText"/>
      </w:pPr>
      <w:r>
        <w:t xml:space="preserve">Установили первую точку останова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1023309"/>
            <wp:effectExtent b="0" l="0" r="0" t="0"/>
            <wp:docPr descr="Figure 3: Первая точка останова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Первая точка останова</w:t>
      </w:r>
    </w:p>
    <w:bookmarkEnd w:id="0"/>
    <w:p>
      <w:pPr>
        <w:pStyle w:val="BodyText"/>
      </w:pPr>
      <w:r>
        <w:t xml:space="preserve">Дизассемблирование программы, начиная с точки старта(рис.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4864100" cy="3886200"/>
            <wp:effectExtent b="0" l="0" r="0" t="0"/>
            <wp:docPr descr="Figure 4: Дизассемблированный код программы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Дизассемблированный код программы</w:t>
      </w:r>
    </w:p>
    <w:bookmarkEnd w:id="0"/>
    <w:p>
      <w:pPr>
        <w:pStyle w:val="BodyText"/>
      </w:pPr>
      <w:r>
        <w:t xml:space="preserve">Дизассемблированный код программы со стилем Интел(рис.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4864100" cy="4013200"/>
            <wp:effectExtent b="0" l="0" r="0" t="0"/>
            <wp:docPr descr="Figure 5: Стиль Интел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Стиль Интел</w:t>
      </w:r>
    </w:p>
    <w:bookmarkEnd w:id="0"/>
    <w:p>
      <w:pPr>
        <w:pStyle w:val="BodyText"/>
      </w:pPr>
      <w:r>
        <w:t xml:space="preserve">Переход в псевдографический режим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3903047"/>
            <wp:effectExtent b="0" l="0" r="0" t="0"/>
            <wp:docPr descr="Figure 6: Псевдографический режим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Псевдографический режим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3903047"/>
            <wp:effectExtent b="0" l="0" r="0" t="0"/>
            <wp:docPr descr="Figure 7: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Текст программы</w:t>
      </w:r>
    </w:p>
    <w:bookmarkEnd w:id="0"/>
    <w:p>
      <w:pPr>
        <w:pStyle w:val="BodyText"/>
      </w:pPr>
      <w:r>
        <w:t xml:space="preserve">Установили вторую точку останова 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4" w:name="fig:fig8"/>
      <w:r>
        <w:drawing>
          <wp:inline>
            <wp:extent cx="5334000" cy="636527"/>
            <wp:effectExtent b="0" l="0" r="0" t="0"/>
            <wp:docPr descr="Figure 8: Вторая точка останова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Вторая точка останова</w:t>
      </w:r>
    </w:p>
    <w:bookmarkEnd w:id="0"/>
    <w:p>
      <w:pPr>
        <w:pStyle w:val="BodyText"/>
      </w:pPr>
      <w:r>
        <w:t xml:space="preserve">Вывод значений переменных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 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8" w:name="fig:fig9"/>
      <w:r>
        <w:drawing>
          <wp:inline>
            <wp:extent cx="3505200" cy="685800"/>
            <wp:effectExtent b="0" l="0" r="0" t="0"/>
            <wp:docPr descr="Figure 9: первая текстовая переменная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первая текстовая переменная</w:t>
      </w:r>
    </w:p>
    <w:bookmarkEnd w:id="0"/>
    <w:bookmarkStart w:id="0" w:name="fig:fig10"/>
    <w:p>
      <w:pPr>
        <w:pStyle w:val="CaptionedFigure"/>
      </w:pPr>
      <w:bookmarkStart w:id="62" w:name="fig:fig10"/>
      <w:r>
        <w:drawing>
          <wp:inline>
            <wp:extent cx="3390900" cy="1574800"/>
            <wp:effectExtent b="0" l="0" r="0" t="0"/>
            <wp:docPr descr="Figure 10: вторая текстовая переменная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вторая текстовая переменная</w:t>
      </w:r>
    </w:p>
    <w:bookmarkEnd w:id="0"/>
    <w:p>
      <w:pPr>
        <w:pStyle w:val="BodyText"/>
      </w:pPr>
      <w:r>
        <w:t xml:space="preserve">Установка значений переменных в программе. Вывод переменной отличается из-за формата данных(рис.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fig11"/>
    <w:p>
      <w:pPr>
        <w:pStyle w:val="CaptionedFigure"/>
      </w:pPr>
      <w:bookmarkStart w:id="66" w:name="fig:fig11"/>
      <w:r>
        <w:drawing>
          <wp:inline>
            <wp:extent cx="5334000" cy="3280453"/>
            <wp:effectExtent b="0" l="0" r="0" t="0"/>
            <wp:docPr descr="Figure 11: Установка значений переменной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Установка значений переменной</w:t>
      </w:r>
    </w:p>
    <w:bookmarkEnd w:id="0"/>
    <w:p>
      <w:pPr>
        <w:pStyle w:val="BodyText"/>
      </w:pPr>
      <w:r>
        <w:t xml:space="preserve">Запуск второй программы с аргументами 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fig12"/>
    <w:p>
      <w:pPr>
        <w:pStyle w:val="CaptionedFigure"/>
      </w:pPr>
      <w:bookmarkStart w:id="70" w:name="fig:fig12"/>
      <w:r>
        <w:drawing>
          <wp:inline>
            <wp:extent cx="5334000" cy="3583644"/>
            <wp:effectExtent b="0" l="0" r="0" t="0"/>
            <wp:docPr descr="Figure 12: Запуск второй программы" title="" id="68" name="Picture"/>
            <a:graphic>
              <a:graphicData uri="http://schemas.openxmlformats.org/drawingml/2006/picture">
                <pic:pic>
                  <pic:nvPicPr>
                    <pic:cNvPr descr="image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второй программы</w:t>
      </w:r>
    </w:p>
    <w:bookmarkEnd w:id="0"/>
    <w:p>
      <w:pPr>
        <w:pStyle w:val="BodyText"/>
      </w:pPr>
      <w:r>
        <w:t xml:space="preserve">Вывод числа аргументов (рис.</w:t>
      </w:r>
      <w:r>
        <w:t xml:space="preserve"> </w:t>
      </w:r>
      <w:hyperlink w:anchor="fig:fig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fig13"/>
    <w:p>
      <w:pPr>
        <w:pStyle w:val="CaptionedFigure"/>
      </w:pPr>
      <w:bookmarkStart w:id="74" w:name="fig:fig13"/>
      <w:r>
        <w:drawing>
          <wp:inline>
            <wp:extent cx="3962400" cy="1003300"/>
            <wp:effectExtent b="0" l="0" r="0" t="0"/>
            <wp:docPr descr="Figure 13: Число переменных" title="" id="72" name="Picture"/>
            <a:graphic>
              <a:graphicData uri="http://schemas.openxmlformats.org/drawingml/2006/picture">
                <pic:pic>
                  <pic:nvPicPr>
                    <pic:cNvPr descr="image/img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Число переменных</w:t>
      </w:r>
    </w:p>
    <w:bookmarkEnd w:id="0"/>
    <w:p>
      <w:pPr>
        <w:pStyle w:val="BodyText"/>
      </w:pPr>
      <w:r>
        <w:t xml:space="preserve">Вывод значений аргументов (рис.</w:t>
      </w:r>
      <w:r>
        <w:t xml:space="preserve"> </w:t>
      </w:r>
      <w:hyperlink w:anchor="fig:fig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fig14"/>
    <w:p>
      <w:pPr>
        <w:pStyle w:val="CaptionedFigure"/>
      </w:pPr>
      <w:bookmarkStart w:id="78" w:name="fig:fig14"/>
      <w:r>
        <w:drawing>
          <wp:inline>
            <wp:extent cx="5334000" cy="1802115"/>
            <wp:effectExtent b="0" l="0" r="0" t="0"/>
            <wp:docPr descr="Figure 14: Текст программы" title="" id="76" name="Picture"/>
            <a:graphic>
              <a:graphicData uri="http://schemas.openxmlformats.org/drawingml/2006/picture">
                <pic:pic>
                  <pic:nvPicPr>
                    <pic:cNvPr descr="image/img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Текст программы</w:t>
      </w:r>
    </w:p>
    <w:bookmarkEnd w:id="0"/>
    <w:bookmarkEnd w:id="79"/>
    <w:bookmarkStart w:id="11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2"/>
        </w:numPr>
        <w:pStyle w:val="Compact"/>
      </w:pPr>
      <w:r>
        <w:t xml:space="preserve">Преобразовать программу из лабораторной работы №8 (Задание №1 для самостоятельной работы), реализовав вычисление значения функции f(x) как подпрограмму</w:t>
      </w:r>
    </w:p>
    <w:p>
      <w:pPr>
        <w:pStyle w:val="FirstParagraph"/>
      </w:pPr>
      <w:r>
        <w:t xml:space="preserve">Код программы (рис.</w:t>
      </w:r>
      <w:r>
        <w:t xml:space="preserve"> </w:t>
      </w:r>
      <w:hyperlink w:anchor="fig:fig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fig15"/>
    <w:p>
      <w:pPr>
        <w:pStyle w:val="CaptionedFigure"/>
      </w:pPr>
      <w:bookmarkStart w:id="83" w:name="fig:fig15"/>
      <w:r>
        <w:drawing>
          <wp:inline>
            <wp:extent cx="5334000" cy="1548932"/>
            <wp:effectExtent b="0" l="0" r="0" t="0"/>
            <wp:docPr descr="Figure 15: Код программы" title="" id="81" name="Picture"/>
            <a:graphic>
              <a:graphicData uri="http://schemas.openxmlformats.org/drawingml/2006/picture">
                <pic:pic>
                  <pic:nvPicPr>
                    <pic:cNvPr descr="image/img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Код программы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fig16"/>
    <w:p>
      <w:pPr>
        <w:pStyle w:val="CaptionedFigure"/>
      </w:pPr>
      <w:bookmarkStart w:id="87" w:name="fig:fig16"/>
      <w:r>
        <w:drawing>
          <wp:inline>
            <wp:extent cx="5168900" cy="8826500"/>
            <wp:effectExtent b="0" l="0" r="0" t="0"/>
            <wp:docPr descr="Figure 16: Работа программы" title="" id="85" name="Picture"/>
            <a:graphic>
              <a:graphicData uri="http://schemas.openxmlformats.org/drawingml/2006/picture">
                <pic:pic>
                  <pic:nvPicPr>
                    <pic:cNvPr descr="image/img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882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Работа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Отладка программы с помощью GDB Linux</w:t>
      </w:r>
    </w:p>
    <w:p>
      <w:pPr>
        <w:pStyle w:val="FirstParagraph"/>
      </w:pPr>
      <w:r>
        <w:t xml:space="preserve">Программа выдает ошибочное значение (рис.</w:t>
      </w:r>
      <w:r>
        <w:t xml:space="preserve"> </w:t>
      </w:r>
      <w:hyperlink w:anchor="fig:fig18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fig18"/>
    <w:p>
      <w:pPr>
        <w:pStyle w:val="CaptionedFigure"/>
      </w:pPr>
      <w:bookmarkStart w:id="91" w:name="fig:fig18"/>
      <w:r>
        <w:drawing>
          <wp:inline>
            <wp:extent cx="5334000" cy="1150222"/>
            <wp:effectExtent b="0" l="0" r="0" t="0"/>
            <wp:docPr descr="Figure 17: Неправильная работа программы" title="" id="89" name="Picture"/>
            <a:graphic>
              <a:graphicData uri="http://schemas.openxmlformats.org/drawingml/2006/picture">
                <pic:pic>
                  <pic:nvPicPr>
                    <pic:cNvPr descr="image/img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Неправильная работа программы</w:t>
      </w:r>
    </w:p>
    <w:bookmarkEnd w:id="0"/>
    <w:p>
      <w:pPr>
        <w:pStyle w:val="BodyText"/>
      </w:pPr>
      <w:r>
        <w:t xml:space="preserve">В отладчике видим, что умножение происходит в регистре eax, тогда как мы положили значение суммы в регистр ebx. Это видно по значениям регистров eax и ebx(рис.</w:t>
      </w:r>
      <w:r>
        <w:t xml:space="preserve"> </w:t>
      </w:r>
      <w:hyperlink w:anchor="fig:fig17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fig17"/>
    <w:p>
      <w:pPr>
        <w:pStyle w:val="CaptionedFigure"/>
      </w:pPr>
      <w:bookmarkStart w:id="95" w:name="fig:fig17"/>
      <w:r>
        <w:drawing>
          <wp:inline>
            <wp:extent cx="5334000" cy="2352416"/>
            <wp:effectExtent b="0" l="0" r="0" t="0"/>
            <wp:docPr descr="Figure 18: Нахождение ошибки в отладчике" title="" id="93" name="Picture"/>
            <a:graphic>
              <a:graphicData uri="http://schemas.openxmlformats.org/drawingml/2006/picture">
                <pic:pic>
                  <pic:nvPicPr>
                    <pic:cNvPr descr="image/img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Нахождение ошибки в отладчике</w:t>
      </w:r>
    </w:p>
    <w:bookmarkEnd w:id="0"/>
    <w:p>
      <w:pPr>
        <w:pStyle w:val="BodyText"/>
      </w:pPr>
      <w:r>
        <w:t xml:space="preserve">Исправленный код программы (рис.</w:t>
      </w:r>
      <w:r>
        <w:t xml:space="preserve"> </w:t>
      </w:r>
      <w:hyperlink w:anchor="fig:fig20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fig20"/>
    <w:p>
      <w:pPr>
        <w:pStyle w:val="CaptionedFigure"/>
      </w:pPr>
      <w:bookmarkStart w:id="99" w:name="fig:fig20"/>
      <w:r>
        <w:drawing>
          <wp:inline>
            <wp:extent cx="5334000" cy="5901446"/>
            <wp:effectExtent b="0" l="0" r="0" t="0"/>
            <wp:docPr descr="Figure 19: Код программы" title="" id="97" name="Picture"/>
            <a:graphic>
              <a:graphicData uri="http://schemas.openxmlformats.org/drawingml/2006/picture">
                <pic:pic>
                  <pic:nvPicPr>
                    <pic:cNvPr descr="image/img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Код программы</w:t>
      </w:r>
    </w:p>
    <w:bookmarkEnd w:id="0"/>
    <w:p>
      <w:pPr>
        <w:pStyle w:val="BodyText"/>
      </w:pPr>
      <w:r>
        <w:t xml:space="preserve">Исправленная программа выдает ошибочное значение (рис.</w:t>
      </w:r>
      <w:r>
        <w:t xml:space="preserve"> </w:t>
      </w:r>
      <w:hyperlink w:anchor="fig:fig18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fig19"/>
    <w:p>
      <w:pPr>
        <w:pStyle w:val="CaptionedFigure"/>
      </w:pPr>
      <w:bookmarkStart w:id="103" w:name="fig:fig19"/>
      <w:r>
        <w:drawing>
          <wp:inline>
            <wp:extent cx="5334000" cy="754616"/>
            <wp:effectExtent b="0" l="0" r="0" t="0"/>
            <wp:docPr descr="Figure 20: Неправильная работа программы" title="" id="101" name="Picture"/>
            <a:graphic>
              <a:graphicData uri="http://schemas.openxmlformats.org/drawingml/2006/picture">
                <pic:pic>
                  <pic:nvPicPr>
                    <pic:cNvPr descr="image/img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Неправильная работа программы</w:t>
      </w:r>
    </w:p>
    <w:bookmarkEnd w:id="0"/>
    <w:p>
      <w:pPr>
        <w:pStyle w:val="BodyText"/>
      </w:pPr>
      <w:r>
        <w:t xml:space="preserve">В отладчике видим, что второе сложение происходит в регистре ebx, тогда как мы положили значение суммы в регистр eax (рис.</w:t>
      </w:r>
      <w:r>
        <w:t xml:space="preserve"> </w:t>
      </w:r>
      <w:hyperlink w:anchor="fig:fig21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fig21"/>
    <w:p>
      <w:pPr>
        <w:pStyle w:val="CaptionedFigure"/>
      </w:pPr>
      <w:bookmarkStart w:id="107" w:name="fig:fig21"/>
      <w:r>
        <w:drawing>
          <wp:inline>
            <wp:extent cx="5334000" cy="2087612"/>
            <wp:effectExtent b="0" l="0" r="0" t="0"/>
            <wp:docPr descr="Figure 21: Нахождение ошибки в отладчике" title="" id="105" name="Picture"/>
            <a:graphic>
              <a:graphicData uri="http://schemas.openxmlformats.org/drawingml/2006/picture">
                <pic:pic>
                  <pic:nvPicPr>
                    <pic:cNvPr descr="image/img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Нахождение ошибки в отладчике</w:t>
      </w:r>
    </w:p>
    <w:bookmarkEnd w:id="0"/>
    <w:p>
      <w:pPr>
        <w:pStyle w:val="BodyText"/>
      </w:pPr>
      <w:r>
        <w:t xml:space="preserve">Исправленный код программы (рис.</w:t>
      </w:r>
      <w:r>
        <w:t xml:space="preserve"> </w:t>
      </w:r>
      <w:hyperlink w:anchor="fig:fig23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fig23"/>
    <w:p>
      <w:pPr>
        <w:pStyle w:val="CaptionedFigure"/>
      </w:pPr>
      <w:bookmarkStart w:id="111" w:name="fig:fig23"/>
      <w:r>
        <w:drawing>
          <wp:inline>
            <wp:extent cx="5334000" cy="5299512"/>
            <wp:effectExtent b="0" l="0" r="0" t="0"/>
            <wp:docPr descr="Figure 22: Код программы" title="" id="109" name="Picture"/>
            <a:graphic>
              <a:graphicData uri="http://schemas.openxmlformats.org/drawingml/2006/picture">
                <pic:pic>
                  <pic:nvPicPr>
                    <pic:cNvPr descr="image/img2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Код программы</w:t>
      </w:r>
    </w:p>
    <w:bookmarkEnd w:id="0"/>
    <w:p>
      <w:pPr>
        <w:pStyle w:val="BodyText"/>
      </w:pPr>
      <w:r>
        <w:t xml:space="preserve">Исправленная программа работает корректно (рис.</w:t>
      </w:r>
      <w:r>
        <w:t xml:space="preserve"> </w:t>
      </w:r>
      <w:hyperlink w:anchor="fig:fig22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fig22"/>
    <w:p>
      <w:pPr>
        <w:pStyle w:val="CaptionedFigure"/>
      </w:pPr>
      <w:bookmarkStart w:id="115" w:name="fig:fig22"/>
      <w:r>
        <w:drawing>
          <wp:inline>
            <wp:extent cx="5334000" cy="1014564"/>
            <wp:effectExtent b="0" l="0" r="0" t="0"/>
            <wp:docPr descr="Figure 23: Корректная работа программы" title="" id="113" name="Picture"/>
            <a:graphic>
              <a:graphicData uri="http://schemas.openxmlformats.org/drawingml/2006/picture">
                <pic:pic>
                  <pic:nvPicPr>
                    <pic:cNvPr descr="image/img22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Корректная работа программы</w:t>
      </w:r>
    </w:p>
    <w:bookmarkEnd w:id="0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подпрограмм. Познакомились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117"/>
    <w:bookmarkStart w:id="119" w:name="список-литературы"/>
    <w:p>
      <w:pPr>
        <w:pStyle w:val="Heading1"/>
      </w:pPr>
      <w:r>
        <w:t xml:space="preserve">Список литературы</w:t>
      </w:r>
    </w:p>
    <w:bookmarkStart w:id="118" w:name="refs"/>
    <w:bookmarkEnd w:id="118"/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88" Target="media/rId88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12" Target="media/rId112.png" /><Relationship Type="http://schemas.openxmlformats.org/officeDocument/2006/relationships/image" Id="rId108" Target="media/rId10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Бунин Арсений Викторович</dc:creator>
  <dc:language>ru-RU</dc:language>
  <cp:keywords/>
  <dcterms:created xsi:type="dcterms:W3CDTF">2024-02-03T11:26:34Z</dcterms:created>
  <dcterms:modified xsi:type="dcterms:W3CDTF">2024-02-03T11:26:34Z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Понятие подпрограммы. Отладчик GDB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