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jc w:val="center"/>
      </w:pPr>
      <w:r>
        <w:rPr>
          <w:rFonts w:ascii="Arial" w:cs="Arial" w:eastAsia="Arial" w:hAnsi="Arial"/>
          <w:b/>
          <w:bCs/>
          <w:color w:val="FFFFFF"/>
          <w:sz w:val="48"/>
          <w:szCs w:val="48"/>
        </w:rPr>
        <w:t xml:space="preserve">KOSIGN WEEKLY REPORT</w:t>
      </w:r>
    </w:p>
    <w:p>
      <w:pPr>
        <w:shd w:fill="2E5799" w:val="clear"/>
        <w:spacing w:after="40" w:before="0"/>
        <w:jc w:val="center"/>
      </w:pPr>
      <w:r>
        <w:rPr>
          <w:rFonts w:ascii="Arial" w:cs="Arial" w:eastAsia="Arial" w:hAnsi="Arial"/>
          <w:color w:val="BDD7EE"/>
          <w:sz w:val="20"/>
          <w:szCs w:val="20"/>
        </w:rPr>
        <w:t xml:space="preserve">Week of March 23, 2026  |  Report Date: March 19, 2026  |  Prepared for: CEO</w:t>
      </w:r>
    </w:p>
    <w:p>
      <w:pPr>
        <w:spacing w:after="200" w:before="0"/>
      </w:pPr>
      <w:r>
        <w:t xml:space="preserve"/>
      </w:r>
    </w:p>
    <w:p>
      <w:pPr>
        <w:pBdr>
          <w:bottom w:val="single" w:color="1F3864" w:sz="6" w:space="4"/>
        </w:pBdr>
        <w:spacing w:after="160" w:before="240"/>
      </w:pPr>
      <w:r>
        <w:rPr>
          <w:rFonts w:ascii="Arial" w:cs="Arial" w:eastAsia="Arial" w:hAnsi="Arial"/>
          <w:b/>
          <w:bCs/>
          <w:color w:val="1F3864"/>
          <w:sz w:val="28"/>
          <w:szCs w:val="28"/>
        </w:rPr>
        <w:t xml:space="preserve">Executive Summary</w:t>
      </w:r>
    </w:p>
    <w:p>
      <w:pPr>
        <w:spacing w:after="80" w:before="0"/>
      </w:pPr>
      <w:r>
        <w:t xml:space="preserve"/>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79"/>
        <w:gridCol w:w="3079"/>
        <w:gridCol w:w="3079"/>
        <w:gridCol w:w="3079"/>
        <w:gridCol w:w="3082"/>
      </w:tblGrid>
      <w:tr>
        <w:tc>
          <w:tcPr>
            <w:tcW w:type="dxa" w:w="3079"/>
            <w:tcBorders>
              <w:top w:val="single" w:color="1F3864" w:sz="6"/>
              <w:left w:val="single" w:color="1F3864" w:sz="6"/>
              <w:bottom w:val="single" w:color="1F3864" w:sz="6"/>
              <w:right w:val="single" w:color="1F3864" w:sz="6"/>
            </w:tcBorders>
            <w:shd w:fill="1F3864" w:val="clear"/>
            <w:tcMar>
              <w:top w:type="dxa" w:w="200"/>
              <w:left w:type="dxa" w:w="200"/>
              <w:bottom w:type="dxa" w:w="200"/>
              <w:right w:type="dxa" w:w="200"/>
            </w:tcMar>
            <w:vAlign w:val="center"/>
          </w:tcPr>
          <w:p>
            <w:pPr>
              <w:jc w:val="center"/>
            </w:pPr>
            <w:r>
              <w:rPr>
                <w:rFonts w:ascii="Arial" w:cs="Arial" w:eastAsia="Arial" w:hAnsi="Arial"/>
                <w:b/>
                <w:bCs/>
                <w:color w:val="FFFFFF"/>
                <w:sz w:val="56"/>
                <w:szCs w:val="56"/>
              </w:rPr>
              <w:t xml:space="preserve">45</w:t>
            </w:r>
          </w:p>
          <w:p>
            <w:pPr>
              <w:jc w:val="center"/>
            </w:pPr>
            <w:r>
              <w:rPr>
                <w:rFonts w:ascii="Arial" w:cs="Arial" w:eastAsia="Arial" w:hAnsi="Arial"/>
                <w:color w:val="FFFFFF"/>
                <w:sz w:val="20"/>
                <w:szCs w:val="20"/>
              </w:rPr>
              <w:t xml:space="preserve">Total Tasks</w:t>
            </w:r>
          </w:p>
        </w:tc>
        <w:tc>
          <w:tcPr>
            <w:tcW w:type="dxa" w:w="3079"/>
            <w:tcBorders>
              <w:top w:val="single" w:color="1F3864" w:sz="6"/>
              <w:left w:val="single" w:color="1F3864" w:sz="6"/>
              <w:bottom w:val="single" w:color="1F3864" w:sz="6"/>
              <w:right w:val="single" w:color="1F3864" w:sz="6"/>
            </w:tcBorders>
            <w:shd w:fill="EAE0F0" w:val="clear"/>
            <w:tcMar>
              <w:top w:type="dxa" w:w="200"/>
              <w:left w:type="dxa" w:w="200"/>
              <w:bottom w:type="dxa" w:w="200"/>
              <w:right w:type="dxa" w:w="200"/>
            </w:tcMar>
            <w:vAlign w:val="center"/>
          </w:tcPr>
          <w:p>
            <w:pPr>
              <w:jc w:val="center"/>
            </w:pPr>
            <w:r>
              <w:rPr>
                <w:rFonts w:ascii="Arial" w:cs="Arial" w:eastAsia="Arial" w:hAnsi="Arial"/>
                <w:b/>
                <w:bCs/>
                <w:color w:val="7030A0"/>
                <w:sz w:val="56"/>
                <w:szCs w:val="56"/>
              </w:rPr>
              <w:t xml:space="preserve">25</w:t>
            </w:r>
          </w:p>
          <w:p>
            <w:pPr>
              <w:jc w:val="center"/>
            </w:pPr>
            <w:r>
              <w:rPr>
                <w:rFonts w:ascii="Arial" w:cs="Arial" w:eastAsia="Arial" w:hAnsi="Arial"/>
                <w:color w:val="7030A0"/>
                <w:sz w:val="20"/>
                <w:szCs w:val="20"/>
              </w:rPr>
              <w:t xml:space="preserve">In Progress</w:t>
            </w:r>
          </w:p>
        </w:tc>
        <w:tc>
          <w:tcPr>
            <w:tcW w:type="dxa" w:w="3079"/>
            <w:tcBorders>
              <w:top w:val="single" w:color="1F3864" w:sz="6"/>
              <w:left w:val="single" w:color="1F3864" w:sz="6"/>
              <w:bottom w:val="single" w:color="1F3864" w:sz="6"/>
              <w:right w:val="single" w:color="1F3864" w:sz="6"/>
            </w:tcBorders>
            <w:shd w:fill="E2EFDA" w:val="clear"/>
            <w:tcMar>
              <w:top w:type="dxa" w:w="200"/>
              <w:left w:type="dxa" w:w="200"/>
              <w:bottom w:type="dxa" w:w="200"/>
              <w:right w:type="dxa" w:w="200"/>
            </w:tcMar>
            <w:vAlign w:val="center"/>
          </w:tcPr>
          <w:p>
            <w:pPr>
              <w:jc w:val="center"/>
            </w:pPr>
            <w:r>
              <w:rPr>
                <w:rFonts w:ascii="Arial" w:cs="Arial" w:eastAsia="Arial" w:hAnsi="Arial"/>
                <w:b/>
                <w:bCs/>
                <w:color w:val="375623"/>
                <w:sz w:val="56"/>
                <w:szCs w:val="56"/>
              </w:rPr>
              <w:t xml:space="preserve">13</w:t>
            </w:r>
          </w:p>
          <w:p>
            <w:pPr>
              <w:jc w:val="center"/>
            </w:pPr>
            <w:r>
              <w:rPr>
                <w:rFonts w:ascii="Arial" w:cs="Arial" w:eastAsia="Arial" w:hAnsi="Arial"/>
                <w:color w:val="375623"/>
                <w:sz w:val="20"/>
                <w:szCs w:val="20"/>
              </w:rPr>
              <w:t xml:space="preserve">Completed</w:t>
            </w:r>
          </w:p>
        </w:tc>
        <w:tc>
          <w:tcPr>
            <w:tcW w:type="dxa" w:w="3079"/>
            <w:tcBorders>
              <w:top w:val="single" w:color="1F3864" w:sz="6"/>
              <w:left w:val="single" w:color="1F3864" w:sz="6"/>
              <w:bottom w:val="single" w:color="1F3864" w:sz="6"/>
              <w:right w:val="single" w:color="1F3864" w:sz="6"/>
            </w:tcBorders>
            <w:shd w:fill="FCE4D6" w:val="clear"/>
            <w:tcMar>
              <w:top w:type="dxa" w:w="200"/>
              <w:left w:type="dxa" w:w="200"/>
              <w:bottom w:type="dxa" w:w="200"/>
              <w:right w:type="dxa" w:w="200"/>
            </w:tcMar>
            <w:vAlign w:val="center"/>
          </w:tcPr>
          <w:p>
            <w:pPr>
              <w:jc w:val="center"/>
            </w:pPr>
            <w:r>
              <w:rPr>
                <w:rFonts w:ascii="Arial" w:cs="Arial" w:eastAsia="Arial" w:hAnsi="Arial"/>
                <w:b/>
                <w:bCs/>
                <w:color w:val="833C00"/>
                <w:sz w:val="56"/>
                <w:szCs w:val="56"/>
              </w:rPr>
              <w:t xml:space="preserve">4</w:t>
            </w:r>
          </w:p>
          <w:p>
            <w:pPr>
              <w:jc w:val="center"/>
            </w:pPr>
            <w:r>
              <w:rPr>
                <w:rFonts w:ascii="Arial" w:cs="Arial" w:eastAsia="Arial" w:hAnsi="Arial"/>
                <w:color w:val="833C00"/>
                <w:sz w:val="20"/>
                <w:szCs w:val="20"/>
              </w:rPr>
              <w:t xml:space="preserve">To Do</w:t>
            </w:r>
          </w:p>
        </w:tc>
        <w:tc>
          <w:tcPr>
            <w:tcW w:type="dxa" w:w="3082"/>
            <w:tcBorders>
              <w:top w:val="single" w:color="1F3864" w:sz="6"/>
              <w:left w:val="single" w:color="1F3864" w:sz="6"/>
              <w:bottom w:val="single" w:color="1F3864" w:sz="6"/>
              <w:right w:val="single" w:color="1F3864" w:sz="6"/>
            </w:tcBorders>
            <w:shd w:fill="DEEAF1" w:val="clear"/>
            <w:tcMar>
              <w:top w:type="dxa" w:w="200"/>
              <w:left w:type="dxa" w:w="200"/>
              <w:bottom w:type="dxa" w:w="200"/>
              <w:right w:type="dxa" w:w="200"/>
            </w:tcMar>
            <w:vAlign w:val="center"/>
          </w:tcPr>
          <w:p>
            <w:pPr>
              <w:jc w:val="center"/>
            </w:pPr>
            <w:r>
              <w:rPr>
                <w:rFonts w:ascii="Arial" w:cs="Arial" w:eastAsia="Arial" w:hAnsi="Arial"/>
                <w:b/>
                <w:bCs/>
                <w:color w:val="1F3864"/>
                <w:sz w:val="56"/>
                <w:szCs w:val="56"/>
              </w:rPr>
              <w:t xml:space="preserve">3</w:t>
            </w:r>
          </w:p>
          <w:p>
            <w:pPr>
              <w:jc w:val="center"/>
            </w:pPr>
            <w:r>
              <w:rPr>
                <w:rFonts w:ascii="Arial" w:cs="Arial" w:eastAsia="Arial" w:hAnsi="Arial"/>
                <w:color w:val="1F3864"/>
                <w:sz w:val="20"/>
                <w:szCs w:val="20"/>
              </w:rPr>
              <w:t xml:space="preserve">Ongoing</w:t>
            </w:r>
          </w:p>
        </w:tc>
      </w:tr>
    </w:tbl>
    <w:p>
      <w:pPr>
        <w:spacing w:after="80" w:before="0"/>
      </w:pPr>
      <w:r>
        <w:t xml:space="preserve"/>
      </w:r>
    </w:p>
    <w:p>
      <w:pPr>
        <w:spacing w:after="80" w:before="0"/>
        <w:jc w:val="left"/>
      </w:pPr>
      <w:r>
        <w:rPr>
          <w:rFonts w:ascii="Arial" w:cs="Arial" w:eastAsia="Arial" w:hAnsi="Arial"/>
          <w:b w:val="false"/>
          <w:bCs w:val="false"/>
          <w:color w:val="595959"/>
          <w:sz w:val="19"/>
          <w:szCs w:val="19"/>
        </w:rPr>
        <w:t xml:space="preserve">This report covers weekly progress across the Business Team (Local Business Center), Mobile Outsourcing Team (글로벌아웃소싱), Web Scraping Team (COOCON Outsourcing), and Scraping Team for the week ending March 23, 2026. Key activities include ongoing MFI onboarding under WeBill365 LM, active client management under WeBill365 SM, WeLoan contract progress, mobile app development milestones, and Q1 2026 development progress for COOCON outsourcing.</w:t>
      </w:r>
    </w:p>
    <w:p>
      <w:pPr>
        <w:spacing w:after="160" w:before="0"/>
      </w:pPr>
      <w:r>
        <w:t xml:space="preserve"/>
      </w:r>
    </w:p>
    <w:p>
      <w:pPr>
        <w:pBdr>
          <w:bottom w:val="single" w:color="1F3864" w:sz="6" w:space="4"/>
        </w:pBdr>
        <w:spacing w:after="160" w:before="240"/>
      </w:pPr>
      <w:r>
        <w:rPr>
          <w:rFonts w:ascii="Arial" w:cs="Arial" w:eastAsia="Arial" w:hAnsi="Arial"/>
          <w:b/>
          <w:bCs/>
          <w:color w:val="1F3864"/>
          <w:sz w:val="28"/>
          <w:szCs w:val="28"/>
        </w:rPr>
        <w:t xml:space="preserve">1. Business Team (Local Business Center – 로컬비즈니스센터)</w:t>
      </w:r>
    </w:p>
    <w:p>
      <w:pPr>
        <w:spacing w:after="80" w:before="0"/>
      </w:pPr>
      <w:r>
        <w:t xml:space="preserve"/>
      </w:r>
    </w:p>
    <w:p>
      <w:pPr>
        <w:spacing w:after="100" w:before="180"/>
      </w:pPr>
      <w:r>
        <w:rPr>
          <w:rFonts w:ascii="Arial" w:cs="Arial" w:eastAsia="Arial" w:hAnsi="Arial"/>
          <w:b/>
          <w:bCs/>
          <w:color w:val="2E5799"/>
          <w:sz w:val="22"/>
          <w:szCs w:val="22"/>
        </w:rPr>
        <w:t xml:space="preserve">1.1  WeBill365 LM (VA Version) – Client Implementations &amp; CX Activities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4400"/>
        <w:gridCol w:w="2700"/>
        <w:gridCol w:w="1700"/>
        <w:gridCol w:w="6098"/>
      </w:tblGrid>
      <w:tr>
        <w:trPr>
          <w:tblHeader/>
        </w:trPr>
        <w:tc>
          <w:tcPr>
            <w:tcW w:type="dxa" w:w="5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w:t>
            </w:r>
          </w:p>
        </w:tc>
        <w:tc>
          <w:tcPr>
            <w:tcW w:type="dxa" w:w="44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Activity / Task</w:t>
            </w:r>
          </w:p>
        </w:tc>
        <w:tc>
          <w:tcPr>
            <w:tcW w:type="dxa" w:w="2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Client / Module</w:t>
            </w:r>
          </w:p>
        </w:tc>
        <w:tc>
          <w:tcPr>
            <w:tcW w:type="dxa" w:w="1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Status</w:t>
            </w:r>
          </w:p>
        </w:tc>
        <w:tc>
          <w:tcPr>
            <w:tcW w:type="dxa" w:w="6098"/>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Remarks</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1</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WeBill365 Settlement Status not updated for N.H M.F.I</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N.H M.F.I</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Technical team investigating; escalation pending</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2</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NBC submission 90% | Tech UAT 90% | Production in progress | MOU &amp; service launch pending</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Prime / MFIs</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MOU signature and service launch to follow production completion</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3</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NBC submission 90% | Tech UAT 90% | Production in progress | MOU &amp; service launch pending</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Maxima / MFIs</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Parallel track with Prime; same milestones</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4</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NBC submission 20% | Tech UAT 20% | Production in progress | MOU &amp; service launch pending</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KongKea Capital / MFIs</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Early-stage; accelerating submission to match peers</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5</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NBC Share Penetration Test report sharing</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BNKC</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Penetration test report provided; awaiting bank feedback</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6</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Collection feature follow-up and online handling support</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KongKea Capital</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Ongoing CX assistance for collection module usage</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7</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KOSIGN product presentation request (CoFounder Sean Sophagna, 8,000+ students)</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CamAsean / School</w:t>
            </w:r>
          </w:p>
        </w:tc>
        <w:tc>
          <w:tcPr>
            <w:tcW w:type="dxa" w:w="1700"/>
            <w:tcBorders>
              <w:top w:val="single" w:color="AAAAAA" w:sz="1"/>
              <w:left w:val="single" w:color="AAAAAA" w:sz="1"/>
              <w:bottom w:val="single" w:color="AAAAAA" w:sz="1"/>
              <w:right w:val="single" w:color="AAAAAA" w:sz="1"/>
            </w:tcBorders>
            <w:shd w:fill="FCE4D6" w:val="clear"/>
            <w:tcMar>
              <w:top w:type="dxa" w:w="80"/>
              <w:left w:type="dxa" w:w="100"/>
              <w:bottom w:type="dxa" w:w="80"/>
              <w:right w:type="dxa" w:w="100"/>
            </w:tcMar>
            <w:vAlign w:val="center"/>
          </w:tcPr>
          <w:p>
            <w:pPr>
              <w:jc w:val="center"/>
            </w:pPr>
            <w:r>
              <w:rPr>
                <w:rFonts w:ascii="Arial" w:cs="Arial" w:eastAsia="Arial" w:hAnsi="Arial"/>
                <w:b/>
                <w:bCs/>
                <w:color w:val="833C00"/>
                <w:sz w:val="17"/>
                <w:szCs w:val="17"/>
              </w:rPr>
              <w:t xml:space="preserve">To Do</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Scheduled introduction of KOSIGN product suite</w:t>
            </w:r>
          </w:p>
        </w:tc>
      </w:tr>
    </w:tbl>
    <w:p>
      <w:pPr>
        <w:spacing w:after="160" w:before="0"/>
      </w:pPr>
      <w:r>
        <w:t xml:space="preserve"/>
      </w:r>
    </w:p>
    <w:p>
      <w:pPr>
        <w:spacing w:after="100" w:before="180"/>
      </w:pPr>
      <w:r>
        <w:rPr>
          <w:rFonts w:ascii="Arial" w:cs="Arial" w:eastAsia="Arial" w:hAnsi="Arial"/>
          <w:b/>
          <w:bCs/>
          <w:color w:val="2E5799"/>
          <w:sz w:val="22"/>
          <w:szCs w:val="22"/>
        </w:rPr>
        <w:t xml:space="preserve">1.2  WeBill365 SM (BA Version) – Client CX Activities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4400"/>
        <w:gridCol w:w="2700"/>
        <w:gridCol w:w="1700"/>
        <w:gridCol w:w="6098"/>
      </w:tblGrid>
      <w:tr>
        <w:trPr>
          <w:tblHeader/>
        </w:trPr>
        <w:tc>
          <w:tcPr>
            <w:tcW w:type="dxa" w:w="5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w:t>
            </w:r>
          </w:p>
        </w:tc>
        <w:tc>
          <w:tcPr>
            <w:tcW w:type="dxa" w:w="44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Activity / Task</w:t>
            </w:r>
          </w:p>
        </w:tc>
        <w:tc>
          <w:tcPr>
            <w:tcW w:type="dxa" w:w="2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Client / Module</w:t>
            </w:r>
          </w:p>
        </w:tc>
        <w:tc>
          <w:tcPr>
            <w:tcW w:type="dxa" w:w="1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Status</w:t>
            </w:r>
          </w:p>
        </w:tc>
        <w:tc>
          <w:tcPr>
            <w:tcW w:type="dxa" w:w="6098"/>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Remarks</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1</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Business (ANHE) launch – product feature onboarding &amp; guidance</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ANHE</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Service successfully launched; feature walkthrough completed</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2</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WeUMS training, integrated platform opening &amp; account registration</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WeUMS BAMC</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Users successfully onboarded onto WeUMS platform</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3</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WeBill365 / NBA / Business usage follow-up &amp; online support</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BNKC / NBA / Business</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Ongoing CX support and online assistance</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4</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QDF cooperation proposal (laundry/matching users) – MOU negotiation</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ANHE / Rental</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MOU draft under review; coordination with ANHE ongoing</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5</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WeBill365 usage issue – follow-up and resolution in progress</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SORM HUOT / Business</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Issue identified; resolution steps being coordinated</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6</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WeBill365 usage issue – follow-up and resolution in progress</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Mrs. Eva / Business</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Tracked separately; same issue category as SORM HUOT</w:t>
            </w:r>
          </w:p>
        </w:tc>
      </w:tr>
    </w:tbl>
    <w:p>
      <w:pPr>
        <w:spacing w:after="160" w:before="0"/>
      </w:pPr>
      <w:r>
        <w:t xml:space="preserve"/>
      </w:r>
    </w:p>
    <w:p>
      <w:pPr>
        <w:spacing w:after="100" w:before="180"/>
      </w:pPr>
      <w:r>
        <w:rPr>
          <w:rFonts w:ascii="Arial" w:cs="Arial" w:eastAsia="Arial" w:hAnsi="Arial"/>
          <w:b/>
          <w:bCs/>
          <w:color w:val="2E5799"/>
          <w:sz w:val="22"/>
          <w:szCs w:val="22"/>
        </w:rPr>
        <w:t xml:space="preserve">1.3  WeBill365 SM (BA Version) – Active Client Revenue Overview</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1800"/>
        <w:gridCol w:w="2200"/>
        <w:gridCol w:w="6198"/>
      </w:tblGrid>
      <w:tr>
        <w:trPr>
          <w:tblHeader/>
        </w:trPr>
        <w:tc>
          <w:tcPr>
            <w:tcW w:type="dxa" w:w="30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Client</w:t>
            </w:r>
          </w:p>
        </w:tc>
        <w:tc>
          <w:tcPr>
            <w:tcW w:type="dxa" w:w="22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Business Type</w:t>
            </w:r>
          </w:p>
        </w:tc>
        <w:tc>
          <w:tcPr>
            <w:tcW w:type="dxa" w:w="18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Bills/Month</w:t>
            </w:r>
          </w:p>
        </w:tc>
        <w:tc>
          <w:tcPr>
            <w:tcW w:type="dxa" w:w="22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Revenue</w:t>
            </w:r>
          </w:p>
        </w:tc>
        <w:tc>
          <w:tcPr>
            <w:tcW w:type="dxa" w:w="6198"/>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Notes</w:t>
            </w:r>
          </w:p>
        </w:tc>
      </w:tr>
      <w:tr>
        <w:tc>
          <w:tcPr>
            <w:tcW w:type="dxa" w:w="30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1F3864"/>
                <w:sz w:val="17"/>
                <w:szCs w:val="17"/>
              </w:rPr>
              <w:t xml:space="preserve">KIM HAB</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Rental</w:t>
            </w:r>
          </w:p>
        </w:tc>
        <w:tc>
          <w:tcPr>
            <w:tcW w:type="dxa" w:w="18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20</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WePoint $5</w:t>
            </w:r>
          </w:p>
        </w:tc>
        <w:tc>
          <w:tcPr>
            <w:tcW w:type="dxa" w:w="61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Stable recurring client</w:t>
            </w:r>
          </w:p>
        </w:tc>
      </w:tr>
      <w:tr>
        <w:tc>
          <w:tcPr>
            <w:tcW w:type="dxa" w:w="30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bCs/>
                <w:color w:val="1F3864"/>
                <w:sz w:val="17"/>
                <w:szCs w:val="17"/>
              </w:rPr>
              <w:t xml:space="preserve">Dr Sing Davy</w:t>
            </w:r>
          </w:p>
        </w:tc>
        <w:tc>
          <w:tcPr>
            <w:tcW w:type="dxa" w:w="2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Clinic</w:t>
            </w:r>
          </w:p>
        </w:tc>
        <w:tc>
          <w:tcPr>
            <w:tcW w:type="dxa" w:w="18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16+</w:t>
            </w:r>
          </w:p>
        </w:tc>
        <w:tc>
          <w:tcPr>
            <w:tcW w:type="dxa" w:w="2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WePoint $10</w:t>
            </w:r>
          </w:p>
        </w:tc>
        <w:tc>
          <w:tcPr>
            <w:tcW w:type="dxa" w:w="61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Growing medical sector client</w:t>
            </w:r>
          </w:p>
        </w:tc>
      </w:tr>
      <w:tr>
        <w:tc>
          <w:tcPr>
            <w:tcW w:type="dxa" w:w="30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1F3864"/>
                <w:sz w:val="17"/>
                <w:szCs w:val="17"/>
              </w:rPr>
              <w:t xml:space="preserve">Pheareak</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Printing</w:t>
            </w:r>
          </w:p>
        </w:tc>
        <w:tc>
          <w:tcPr>
            <w:tcW w:type="dxa" w:w="18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200+</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WePoint $30</w:t>
            </w:r>
          </w:p>
        </w:tc>
        <w:tc>
          <w:tcPr>
            <w:tcW w:type="dxa" w:w="61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High-volume; strong revenue contributor</w:t>
            </w:r>
          </w:p>
        </w:tc>
      </w:tr>
      <w:tr>
        <w:tc>
          <w:tcPr>
            <w:tcW w:type="dxa" w:w="30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bCs/>
                <w:color w:val="1F3864"/>
                <w:sz w:val="17"/>
                <w:szCs w:val="17"/>
              </w:rPr>
              <w:t xml:space="preserve">Sam Vannak</w:t>
            </w:r>
          </w:p>
        </w:tc>
        <w:tc>
          <w:tcPr>
            <w:tcW w:type="dxa" w:w="2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Wholesale</w:t>
            </w:r>
          </w:p>
        </w:tc>
        <w:tc>
          <w:tcPr>
            <w:tcW w:type="dxa" w:w="18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40</w:t>
            </w:r>
          </w:p>
        </w:tc>
        <w:tc>
          <w:tcPr>
            <w:tcW w:type="dxa" w:w="2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WePoint $20</w:t>
            </w:r>
          </w:p>
        </w:tc>
        <w:tc>
          <w:tcPr>
            <w:tcW w:type="dxa" w:w="61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Wholesale distributor with steady volume</w:t>
            </w:r>
          </w:p>
        </w:tc>
      </w:tr>
      <w:tr>
        <w:tc>
          <w:tcPr>
            <w:tcW w:type="dxa" w:w="30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1F3864"/>
                <w:sz w:val="17"/>
                <w:szCs w:val="17"/>
              </w:rPr>
              <w:t xml:space="preserve">Keo Sophy</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Rental</w:t>
            </w:r>
          </w:p>
        </w:tc>
        <w:tc>
          <w:tcPr>
            <w:tcW w:type="dxa" w:w="18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8</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WePoint $5</w:t>
            </w:r>
          </w:p>
        </w:tc>
        <w:tc>
          <w:tcPr>
            <w:tcW w:type="dxa" w:w="61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Small landlord segment</w:t>
            </w:r>
          </w:p>
        </w:tc>
      </w:tr>
      <w:tr>
        <w:tc>
          <w:tcPr>
            <w:tcW w:type="dxa" w:w="30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bCs/>
                <w:color w:val="1F3864"/>
                <w:sz w:val="17"/>
                <w:szCs w:val="17"/>
              </w:rPr>
              <w:t xml:space="preserve">Sophatana</w:t>
            </w:r>
          </w:p>
        </w:tc>
        <w:tc>
          <w:tcPr>
            <w:tcW w:type="dxa" w:w="2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FS Auto</w:t>
            </w:r>
          </w:p>
        </w:tc>
        <w:tc>
          <w:tcPr>
            <w:tcW w:type="dxa" w:w="18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15</w:t>
            </w:r>
          </w:p>
        </w:tc>
        <w:tc>
          <w:tcPr>
            <w:tcW w:type="dxa" w:w="2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WePoint $5</w:t>
            </w:r>
          </w:p>
        </w:tc>
        <w:tc>
          <w:tcPr>
            <w:tcW w:type="dxa" w:w="61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Auto finance sector</w:t>
            </w:r>
          </w:p>
        </w:tc>
      </w:tr>
      <w:tr>
        <w:tc>
          <w:tcPr>
            <w:tcW w:type="dxa" w:w="30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1F3864"/>
                <w:sz w:val="17"/>
                <w:szCs w:val="17"/>
              </w:rPr>
              <w:t xml:space="preserve">PCI Company</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Pest Control</w:t>
            </w:r>
          </w:p>
        </w:tc>
        <w:tc>
          <w:tcPr>
            <w:tcW w:type="dxa" w:w="18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WePoint $10</w:t>
            </w:r>
          </w:p>
        </w:tc>
        <w:tc>
          <w:tcPr>
            <w:tcW w:type="dxa" w:w="61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Service-sector client</w:t>
            </w:r>
          </w:p>
        </w:tc>
      </w:tr>
      <w:tr>
        <w:tc>
          <w:tcPr>
            <w:tcW w:type="dxa" w:w="30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bCs/>
                <w:color w:val="1F3864"/>
                <w:sz w:val="17"/>
                <w:szCs w:val="17"/>
              </w:rPr>
              <w:t xml:space="preserve">Chem Phearin</w:t>
            </w:r>
          </w:p>
        </w:tc>
        <w:tc>
          <w:tcPr>
            <w:tcW w:type="dxa" w:w="2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Rental</w:t>
            </w:r>
          </w:p>
        </w:tc>
        <w:tc>
          <w:tcPr>
            <w:tcW w:type="dxa" w:w="18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29</w:t>
            </w:r>
          </w:p>
        </w:tc>
        <w:tc>
          <w:tcPr>
            <w:tcW w:type="dxa" w:w="2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WePoint $5</w:t>
            </w:r>
          </w:p>
        </w:tc>
        <w:tc>
          <w:tcPr>
            <w:tcW w:type="dxa" w:w="61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Rate: $0.04/$1.00 WePoint</w:t>
            </w:r>
          </w:p>
        </w:tc>
      </w:tr>
      <w:tr>
        <w:tc>
          <w:tcPr>
            <w:tcW w:type="dxa" w:w="30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1F3864"/>
                <w:sz w:val="17"/>
                <w:szCs w:val="17"/>
              </w:rPr>
              <w:t xml:space="preserve">Van Sambath</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Rental</w:t>
            </w:r>
          </w:p>
        </w:tc>
        <w:tc>
          <w:tcPr>
            <w:tcW w:type="dxa" w:w="18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19</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WePoint $5</w:t>
            </w:r>
          </w:p>
        </w:tc>
        <w:tc>
          <w:tcPr>
            <w:tcW w:type="dxa" w:w="61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Stable rental client</w:t>
            </w:r>
          </w:p>
        </w:tc>
      </w:tr>
      <w:tr>
        <w:tc>
          <w:tcPr>
            <w:tcW w:type="dxa" w:w="30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bCs/>
                <w:color w:val="1F3864"/>
                <w:sz w:val="17"/>
                <w:szCs w:val="17"/>
              </w:rPr>
              <w:t xml:space="preserve">Anhe Condo</w:t>
            </w:r>
          </w:p>
        </w:tc>
        <w:tc>
          <w:tcPr>
            <w:tcW w:type="dxa" w:w="2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Rental</w:t>
            </w:r>
          </w:p>
        </w:tc>
        <w:tc>
          <w:tcPr>
            <w:tcW w:type="dxa" w:w="18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w:t>
            </w:r>
          </w:p>
        </w:tc>
        <w:tc>
          <w:tcPr>
            <w:tcW w:type="dxa" w:w="2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~$176 / month</w:t>
            </w:r>
          </w:p>
        </w:tc>
        <w:tc>
          <w:tcPr>
            <w:tcW w:type="dxa" w:w="61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Tax Invoice $0.20/Bill + WeChat $80/year</w:t>
            </w:r>
          </w:p>
        </w:tc>
      </w:tr>
      <w:tr>
        <w:tc>
          <w:tcPr>
            <w:tcW w:type="dxa" w:w="30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1F3864"/>
                <w:sz w:val="17"/>
                <w:szCs w:val="17"/>
              </w:rPr>
              <w:t xml:space="preserve">Phimai Garden</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Rental</w:t>
            </w:r>
          </w:p>
        </w:tc>
        <w:tc>
          <w:tcPr>
            <w:tcW w:type="dxa" w:w="18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w:t>
            </w:r>
          </w:p>
        </w:tc>
        <w:tc>
          <w:tcPr>
            <w:tcW w:type="dxa" w:w="2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375623"/>
                <w:sz w:val="17"/>
                <w:szCs w:val="17"/>
              </w:rPr>
              <w:t xml:space="preserve">~$30 / month</w:t>
            </w:r>
          </w:p>
        </w:tc>
        <w:tc>
          <w:tcPr>
            <w:tcW w:type="dxa" w:w="61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Tax Invoice $0.20/Bill</w:t>
            </w:r>
          </w:p>
        </w:tc>
      </w:tr>
    </w:tbl>
    <w:p>
      <w:pPr>
        <w:spacing w:after="160" w:before="0"/>
      </w:pPr>
      <w:r>
        <w:t xml:space="preserve"/>
      </w:r>
    </w:p>
    <w:p>
      <w:pPr>
        <w:spacing w:after="100" w:before="180"/>
      </w:pPr>
      <w:r>
        <w:rPr>
          <w:rFonts w:ascii="Arial" w:cs="Arial" w:eastAsia="Arial" w:hAnsi="Arial"/>
          <w:b/>
          <w:bCs/>
          <w:color w:val="2E5799"/>
          <w:sz w:val="22"/>
          <w:szCs w:val="22"/>
        </w:rPr>
        <w:t xml:space="preserve">1.4  WeLoan – Sales &amp; CX Activities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4400"/>
        <w:gridCol w:w="2700"/>
        <w:gridCol w:w="1700"/>
        <w:gridCol w:w="6098"/>
      </w:tblGrid>
      <w:tr>
        <w:trPr>
          <w:tblHeader/>
        </w:trPr>
        <w:tc>
          <w:tcPr>
            <w:tcW w:type="dxa" w:w="5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w:t>
            </w:r>
          </w:p>
        </w:tc>
        <w:tc>
          <w:tcPr>
            <w:tcW w:type="dxa" w:w="44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Activity / Task</w:t>
            </w:r>
          </w:p>
        </w:tc>
        <w:tc>
          <w:tcPr>
            <w:tcW w:type="dxa" w:w="2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Client / Module</w:t>
            </w:r>
          </w:p>
        </w:tc>
        <w:tc>
          <w:tcPr>
            <w:tcW w:type="dxa" w:w="1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Status</w:t>
            </w:r>
          </w:p>
        </w:tc>
        <w:tc>
          <w:tcPr>
            <w:tcW w:type="dxa" w:w="6098"/>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Remarks</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1</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WeUMS feedback &amp; feature improvements; NDA contract at 99% completion</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BAMC Finance</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NDA nearing signature; WeUMS enhancements in scope</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2</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SMS pricing confirmed: $0.08 domestic, $0.15 international, $0.01 platform group (50% off)</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WeUMS Pricing</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Pricing structure finalized and communicated</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3</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WeUMS platform contract signed (13/02/2026)</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WeUMS Contract</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Contract effective; marketing MOU usage caution noted</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4</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SMS issue handling (02/18 – 03/02): 6,051 SMS processed</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BAMC Finance / SMS</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March SMS usage monitored; issue resolved</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5</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WeUMS product introduction to Acabar Pic</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Acabar Pic</w:t>
            </w:r>
          </w:p>
        </w:tc>
        <w:tc>
          <w:tcPr>
            <w:tcW w:type="dxa" w:w="1700"/>
            <w:tcBorders>
              <w:top w:val="single" w:color="AAAAAA" w:sz="1"/>
              <w:left w:val="single" w:color="AAAAAA" w:sz="1"/>
              <w:bottom w:val="single" w:color="AAAAAA" w:sz="1"/>
              <w:right w:val="single" w:color="AAAAAA" w:sz="1"/>
            </w:tcBorders>
            <w:shd w:fill="FCE4D6" w:val="clear"/>
            <w:tcMar>
              <w:top w:type="dxa" w:w="80"/>
              <w:left w:type="dxa" w:w="100"/>
              <w:bottom w:type="dxa" w:w="80"/>
              <w:right w:type="dxa" w:w="100"/>
            </w:tcMar>
            <w:vAlign w:val="center"/>
          </w:tcPr>
          <w:p>
            <w:pPr>
              <w:jc w:val="center"/>
            </w:pPr>
            <w:r>
              <w:rPr>
                <w:rFonts w:ascii="Arial" w:cs="Arial" w:eastAsia="Arial" w:hAnsi="Arial"/>
                <w:b/>
                <w:bCs/>
                <w:color w:val="833C00"/>
                <w:sz w:val="17"/>
                <w:szCs w:val="17"/>
              </w:rPr>
              <w:t xml:space="preserve">To Do</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Introduction meeting to be arranged</w:t>
            </w:r>
          </w:p>
        </w:tc>
      </w:tr>
    </w:tbl>
    <w:p>
      <w:pPr>
        <w:spacing w:after="160" w:before="0"/>
      </w:pPr>
      <w:r>
        <w:t xml:space="preserve"/>
      </w:r>
    </w:p>
    <w:p>
      <w:pPr>
        <w:spacing w:after="100" w:before="180"/>
      </w:pPr>
      <w:r>
        <w:rPr>
          <w:rFonts w:ascii="Arial" w:cs="Arial" w:eastAsia="Arial" w:hAnsi="Arial"/>
          <w:b/>
          <w:bCs/>
          <w:color w:val="2E5799"/>
          <w:sz w:val="22"/>
          <w:szCs w:val="22"/>
        </w:rPr>
        <w:t xml:space="preserve">1.5  WeUMS – CX Activities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4400"/>
        <w:gridCol w:w="2700"/>
        <w:gridCol w:w="1700"/>
        <w:gridCol w:w="6098"/>
      </w:tblGrid>
      <w:tr>
        <w:trPr>
          <w:tblHeader/>
        </w:trPr>
        <w:tc>
          <w:tcPr>
            <w:tcW w:type="dxa" w:w="5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w:t>
            </w:r>
          </w:p>
        </w:tc>
        <w:tc>
          <w:tcPr>
            <w:tcW w:type="dxa" w:w="44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Activity / Task</w:t>
            </w:r>
          </w:p>
        </w:tc>
        <w:tc>
          <w:tcPr>
            <w:tcW w:type="dxa" w:w="2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Client / Module</w:t>
            </w:r>
          </w:p>
        </w:tc>
        <w:tc>
          <w:tcPr>
            <w:tcW w:type="dxa" w:w="1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Status</w:t>
            </w:r>
          </w:p>
        </w:tc>
        <w:tc>
          <w:tcPr>
            <w:tcW w:type="dxa" w:w="6098"/>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Remarks</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1</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Rationalization of existing system customers &amp; sales process streamlining</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ChokChey</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Assessment of current usage patterns underway</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2</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WeUMS direct-user follow-up and ongoing engagement</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Bakong Lucky</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Coordination with Bakong Lucky users on platform adoption</w:t>
            </w:r>
          </w:p>
        </w:tc>
      </w:tr>
    </w:tbl>
    <w:p>
      <w:pPr>
        <w:spacing w:after="160" w:before="0"/>
      </w:pPr>
      <w:r>
        <w:t xml:space="preserve"/>
      </w:r>
    </w:p>
    <w:p>
      <w:pPr>
        <w:spacing w:after="100" w:before="180"/>
      </w:pPr>
      <w:r>
        <w:rPr>
          <w:rFonts w:ascii="Arial" w:cs="Arial" w:eastAsia="Arial" w:hAnsi="Arial"/>
          <w:b/>
          <w:bCs/>
          <w:color w:val="2E5799"/>
          <w:sz w:val="22"/>
          <w:szCs w:val="22"/>
        </w:rPr>
        <w:t xml:space="preserve">1.6  Business Development – Partner &amp; Institutional Activities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4400"/>
        <w:gridCol w:w="2700"/>
        <w:gridCol w:w="1700"/>
        <w:gridCol w:w="6098"/>
      </w:tblGrid>
      <w:tr>
        <w:trPr>
          <w:tblHeader/>
        </w:trPr>
        <w:tc>
          <w:tcPr>
            <w:tcW w:type="dxa" w:w="5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w:t>
            </w:r>
          </w:p>
        </w:tc>
        <w:tc>
          <w:tcPr>
            <w:tcW w:type="dxa" w:w="44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Activity / Task</w:t>
            </w:r>
          </w:p>
        </w:tc>
        <w:tc>
          <w:tcPr>
            <w:tcW w:type="dxa" w:w="2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Client / Module</w:t>
            </w:r>
          </w:p>
        </w:tc>
        <w:tc>
          <w:tcPr>
            <w:tcW w:type="dxa" w:w="1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Status</w:t>
            </w:r>
          </w:p>
        </w:tc>
        <w:tc>
          <w:tcPr>
            <w:tcW w:type="dxa" w:w="6098"/>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Remarks</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1</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MOU completion; 5 companies onboarding (Anoob, Jaichi, Localizer, Poscha, KOSIGN)</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GDDE (We-Invoice)</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30-company MOU finalized; E-Invoice AC integration planning commenced</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2</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KOSIGN-GDDE electronic invoicing system (E-Invoice) rollout</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GDDE (We-Invoice)</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AC system integration milestone set</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3</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WeBill365 + WeLoan + WeUMS presentation scheduled for March 28</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KB Prasac Bank</w:t>
            </w:r>
          </w:p>
        </w:tc>
        <w:tc>
          <w:tcPr>
            <w:tcW w:type="dxa" w:w="1700"/>
            <w:tcBorders>
              <w:top w:val="single" w:color="AAAAAA" w:sz="1"/>
              <w:left w:val="single" w:color="AAAAAA" w:sz="1"/>
              <w:bottom w:val="single" w:color="AAAAAA" w:sz="1"/>
              <w:right w:val="single" w:color="AAAAAA" w:sz="1"/>
            </w:tcBorders>
            <w:shd w:fill="FCE4D6" w:val="clear"/>
            <w:tcMar>
              <w:top w:type="dxa" w:w="80"/>
              <w:left w:type="dxa" w:w="100"/>
              <w:bottom w:type="dxa" w:w="80"/>
              <w:right w:type="dxa" w:w="100"/>
            </w:tcMar>
            <w:vAlign w:val="center"/>
          </w:tcPr>
          <w:p>
            <w:pPr>
              <w:jc w:val="center"/>
            </w:pPr>
            <w:r>
              <w:rPr>
                <w:rFonts w:ascii="Arial" w:cs="Arial" w:eastAsia="Arial" w:hAnsi="Arial"/>
                <w:b/>
                <w:bCs/>
                <w:color w:val="833C00"/>
                <w:sz w:val="17"/>
                <w:szCs w:val="17"/>
              </w:rPr>
              <w:t xml:space="preserve">To Do</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Presentation materials to be prepared by team</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4</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KB account setup &amp; ChoiChey MFI product grouping service</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KB Prasac Bank / ChoiChey MFI</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Account opening and grouping coordination in progress</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5</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MOU formalization (AMK transitioning to AMK Commercial Bank)</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AMK Microfinance</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Institutional name change noted; MOU being updated accordingly</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6</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Product presentation meeting with Ms. Sodheath (planned 03/29)</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AMK Microfinance</w:t>
            </w:r>
          </w:p>
        </w:tc>
        <w:tc>
          <w:tcPr>
            <w:tcW w:type="dxa" w:w="1700"/>
            <w:tcBorders>
              <w:top w:val="single" w:color="AAAAAA" w:sz="1"/>
              <w:left w:val="single" w:color="AAAAAA" w:sz="1"/>
              <w:bottom w:val="single" w:color="AAAAAA" w:sz="1"/>
              <w:right w:val="single" w:color="AAAAAA" w:sz="1"/>
            </w:tcBorders>
            <w:shd w:fill="FCE4D6" w:val="clear"/>
            <w:tcMar>
              <w:top w:type="dxa" w:w="80"/>
              <w:left w:type="dxa" w:w="100"/>
              <w:bottom w:type="dxa" w:w="80"/>
              <w:right w:type="dxa" w:w="100"/>
            </w:tcMar>
            <w:vAlign w:val="center"/>
          </w:tcPr>
          <w:p>
            <w:pPr>
              <w:jc w:val="center"/>
            </w:pPr>
            <w:r>
              <w:rPr>
                <w:rFonts w:ascii="Arial" w:cs="Arial" w:eastAsia="Arial" w:hAnsi="Arial"/>
                <w:b/>
                <w:bCs/>
                <w:color w:val="833C00"/>
                <w:sz w:val="17"/>
                <w:szCs w:val="17"/>
              </w:rPr>
              <w:t xml:space="preserve">To Do</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Presentation preparation required</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7</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KOSIGN-Bakong business partnership session on WeBill365 (03/15)</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Bakong</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Session conducted; partnership formalized</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8</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CBC service requirement specification &amp; review completed</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CBC / KOSIGN</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CBC → KOSIGN review done; specification finalized</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9</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Scan Pay API usage assessment &amp; legacy system check</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PPCBank</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Technical review of Scan Pay API ongoing</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10</w:t>
            </w:r>
          </w:p>
        </w:tc>
        <w:tc>
          <w:tcPr>
            <w:tcW w:type="dxa" w:w="44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Penetration Test report delivered to Deloitte (03/03)</w:t>
            </w:r>
          </w:p>
        </w:tc>
        <w:tc>
          <w:tcPr>
            <w:tcW w:type="dxa" w:w="27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Deloitte</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60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Report delivered on schedule</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11</w:t>
            </w:r>
          </w:p>
        </w:tc>
        <w:tc>
          <w:tcPr>
            <w:tcW w:type="dxa" w:w="44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Competitive product &amp; departmental plan data provided</w:t>
            </w:r>
          </w:p>
        </w:tc>
        <w:tc>
          <w:tcPr>
            <w:tcW w:type="dxa" w:w="27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BNKC Cambodia</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60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Information package delivered 01/08/2026</w:t>
            </w:r>
          </w:p>
        </w:tc>
      </w:tr>
    </w:tbl>
    <w:p>
      <w:pPr>
        <w:spacing w:after="200" w:before="0"/>
      </w:pPr>
      <w:r>
        <w:t xml:space="preserve"/>
      </w:r>
    </w:p>
    <w:p>
      <w:r>
        <w:br w:type="page"/>
      </w:r>
    </w:p>
    <w:p>
      <w:pPr>
        <w:pBdr>
          <w:bottom w:val="single" w:color="1F3864" w:sz="6" w:space="4"/>
        </w:pBdr>
        <w:spacing w:after="160" w:before="240"/>
      </w:pPr>
      <w:r>
        <w:rPr>
          <w:rFonts w:ascii="Arial" w:cs="Arial" w:eastAsia="Arial" w:hAnsi="Arial"/>
          <w:b/>
          <w:bCs/>
          <w:color w:val="1F3864"/>
          <w:sz w:val="28"/>
          <w:szCs w:val="28"/>
        </w:rPr>
        <w:t xml:space="preserve">2. Mobile Outsourcing Team (글로벌아웃소싱 – Global Outsourcing)</w:t>
      </w:r>
    </w:p>
    <w:p>
      <w:pPr>
        <w:spacing w:after="80" w:before="0"/>
        <w:jc w:val="left"/>
      </w:pPr>
      <w:r>
        <w:rPr>
          <w:rFonts w:ascii="Arial" w:cs="Arial" w:eastAsia="Arial" w:hAnsi="Arial"/>
          <w:b w:val="false"/>
          <w:bCs w:val="false"/>
          <w:color w:val="595959"/>
          <w:sz w:val="19"/>
          <w:szCs w:val="19"/>
        </w:rPr>
        <w:t xml:space="preserve">The Mobile Outsourcing Dept. manages two product centers: the PPP Center On-Premise (iPPP Business Play 4.0) and the WiBillPay Center. Both Android and iOS versions are tracked per release build.</w:t>
      </w:r>
    </w:p>
    <w:p>
      <w:pPr>
        <w:spacing w:after="100" w:before="180"/>
      </w:pPr>
      <w:r>
        <w:rPr>
          <w:rFonts w:ascii="Arial" w:cs="Arial" w:eastAsia="Arial" w:hAnsi="Arial"/>
          <w:b/>
          <w:bCs/>
          <w:color w:val="2E5799"/>
          <w:sz w:val="22"/>
          <w:szCs w:val="22"/>
        </w:rPr>
        <w:t xml:space="preserve">2.1  PPP Center On-Premise – iPPP Business Play 4.0</w:t>
      </w:r>
    </w:p>
    <w:p>
      <w:pPr>
        <w:spacing w:after="80" w:before="0"/>
        <w:jc w:val="left"/>
      </w:pPr>
      <w:r>
        <w:rPr>
          <w:rFonts w:ascii="Arial" w:cs="Arial" w:eastAsia="Arial" w:hAnsi="Arial"/>
          <w:b w:val="false"/>
          <w:bCs w:val="false"/>
          <w:color w:val="595959"/>
          <w:sz w:val="18"/>
          <w:szCs w:val="18"/>
        </w:rPr>
        <w:t xml:space="preserve">Clients: Lotte Central Research Institute (롯데중앙연구소), iThree (아이터리), POSCO ICT, POSTGRES, and others.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2800"/>
        <w:gridCol w:w="1300"/>
        <w:gridCol w:w="1300"/>
        <w:gridCol w:w="1700"/>
        <w:gridCol w:w="3598"/>
      </w:tblGrid>
      <w:tr>
        <w:trPr>
          <w:tblHeader/>
        </w:trPr>
        <w:tc>
          <w:tcPr>
            <w:tcW w:type="dxa" w:w="5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w:t>
            </w:r>
          </w:p>
        </w:tc>
        <w:tc>
          <w:tcPr>
            <w:tcW w:type="dxa" w:w="42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Task</w:t>
            </w:r>
          </w:p>
        </w:tc>
        <w:tc>
          <w:tcPr>
            <w:tcW w:type="dxa" w:w="28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Product</w:t>
            </w:r>
          </w:p>
        </w:tc>
        <w:tc>
          <w:tcPr>
            <w:tcW w:type="dxa" w:w="13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AOS</w:t>
            </w:r>
          </w:p>
        </w:tc>
        <w:tc>
          <w:tcPr>
            <w:tcW w:type="dxa" w:w="13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iOS</w:t>
            </w:r>
          </w:p>
        </w:tc>
        <w:tc>
          <w:tcPr>
            <w:tcW w:type="dxa" w:w="1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Status</w:t>
            </w:r>
          </w:p>
        </w:tc>
        <w:tc>
          <w:tcPr>
            <w:tcW w:type="dxa" w:w="3598"/>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Remarks</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1</w:t>
            </w:r>
          </w:p>
        </w:tc>
        <w:tc>
          <w:tcPr>
            <w:tcW w:type="dxa" w:w="4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양수흐 작업 개선 – User flow improvement for the main processing workflow</w:t>
            </w:r>
          </w:p>
        </w:tc>
        <w:tc>
          <w:tcPr>
            <w:tcW w:type="dxa" w:w="28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iPPP Biz Play 4.0</w:t>
            </w:r>
          </w:p>
        </w:tc>
        <w:tc>
          <w:tcPr>
            <w:tcW w:type="dxa" w:w="13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1.7.8</w:t>
            </w:r>
          </w:p>
        </w:tc>
        <w:tc>
          <w:tcPr>
            <w:tcW w:type="dxa" w:w="13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1.7.8</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35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Completed 02/11 — flow fully improved and released</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2</w:t>
            </w:r>
          </w:p>
        </w:tc>
        <w:tc>
          <w:tcPr>
            <w:tcW w:type="dxa" w:w="4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비밀번호 초기화 기능 사용 회사코드 – Password reset function &amp; company code configuration</w:t>
            </w:r>
          </w:p>
        </w:tc>
        <w:tc>
          <w:tcPr>
            <w:tcW w:type="dxa" w:w="28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iPPP Biz Play 4.0</w:t>
            </w:r>
          </w:p>
        </w:tc>
        <w:tc>
          <w:tcPr>
            <w:tcW w:type="dxa" w:w="13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1.7.8</w:t>
            </w:r>
          </w:p>
        </w:tc>
        <w:tc>
          <w:tcPr>
            <w:tcW w:type="dxa" w:w="13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1.7.8</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35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Completed 02/20 — reset feature live on both platforms</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3</w:t>
            </w:r>
          </w:p>
        </w:tc>
        <w:tc>
          <w:tcPr>
            <w:tcW w:type="dxa" w:w="4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[Feature] Tmap route function change → add 8 hardlink routes (하드링크 경로 8개 추가)</w:t>
            </w:r>
          </w:p>
        </w:tc>
        <w:tc>
          <w:tcPr>
            <w:tcW w:type="dxa" w:w="28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iPPP Biz Play 4.0</w:t>
            </w:r>
          </w:p>
        </w:tc>
        <w:tc>
          <w:tcPr>
            <w:tcW w:type="dxa" w:w="13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1.7.8</w:t>
            </w:r>
          </w:p>
        </w:tc>
        <w:tc>
          <w:tcPr>
            <w:tcW w:type="dxa" w:w="13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1.7.8</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35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Development in progress as of 03/06 — hardlink routing under implementation</w:t>
            </w:r>
          </w:p>
        </w:tc>
      </w:tr>
    </w:tbl>
    <w:p>
      <w:pPr>
        <w:spacing w:after="160" w:before="0"/>
      </w:pPr>
      <w:r>
        <w:t xml:space="preserve"/>
      </w:r>
    </w:p>
    <w:p>
      <w:pPr>
        <w:spacing w:after="100" w:before="180"/>
      </w:pPr>
      <w:r>
        <w:rPr>
          <w:rFonts w:ascii="Arial" w:cs="Arial" w:eastAsia="Arial" w:hAnsi="Arial"/>
          <w:b/>
          <w:bCs/>
          <w:color w:val="2E5799"/>
          <w:sz w:val="22"/>
          <w:szCs w:val="22"/>
        </w:rPr>
        <w:t xml:space="preserve">2.2  WiBillPay Center – 비블페이 (WiBillPay)</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4200"/>
        <w:gridCol w:w="2800"/>
        <w:gridCol w:w="1300"/>
        <w:gridCol w:w="1300"/>
        <w:gridCol w:w="1700"/>
        <w:gridCol w:w="3598"/>
      </w:tblGrid>
      <w:tr>
        <w:trPr>
          <w:tblHeader/>
        </w:trPr>
        <w:tc>
          <w:tcPr>
            <w:tcW w:type="dxa" w:w="5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w:t>
            </w:r>
          </w:p>
        </w:tc>
        <w:tc>
          <w:tcPr>
            <w:tcW w:type="dxa" w:w="42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Task</w:t>
            </w:r>
          </w:p>
        </w:tc>
        <w:tc>
          <w:tcPr>
            <w:tcW w:type="dxa" w:w="28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Product</w:t>
            </w:r>
          </w:p>
        </w:tc>
        <w:tc>
          <w:tcPr>
            <w:tcW w:type="dxa" w:w="13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AOS</w:t>
            </w:r>
          </w:p>
        </w:tc>
        <w:tc>
          <w:tcPr>
            <w:tcW w:type="dxa" w:w="13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iOS</w:t>
            </w:r>
          </w:p>
        </w:tc>
        <w:tc>
          <w:tcPr>
            <w:tcW w:type="dxa" w:w="1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Status</w:t>
            </w:r>
          </w:p>
        </w:tc>
        <w:tc>
          <w:tcPr>
            <w:tcW w:type="dxa" w:w="3598"/>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Remarks</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1</w:t>
            </w:r>
          </w:p>
        </w:tc>
        <w:tc>
          <w:tcPr>
            <w:tcW w:type="dxa" w:w="4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Gongju Bank (공주은행) digital branch x Avatar attendance check integration (디지털브런치 x 아바타 출석체크 연계)</w:t>
            </w:r>
          </w:p>
        </w:tc>
        <w:tc>
          <w:tcPr>
            <w:tcW w:type="dxa" w:w="28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WiBillPay</w:t>
            </w:r>
          </w:p>
        </w:tc>
        <w:tc>
          <w:tcPr>
            <w:tcW w:type="dxa" w:w="13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1.10.28</w:t>
            </w:r>
          </w:p>
        </w:tc>
        <w:tc>
          <w:tcPr>
            <w:tcW w:type="dxa" w:w="13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1.10.14</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35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Completed 01/26 — integration delivered and live</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2</w:t>
            </w:r>
          </w:p>
        </w:tc>
        <w:tc>
          <w:tcPr>
            <w:tcW w:type="dxa" w:w="4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Attendance check icon design adjustment (출석체크 아이콘 디자인 관부)</w:t>
            </w:r>
          </w:p>
        </w:tc>
        <w:tc>
          <w:tcPr>
            <w:tcW w:type="dxa" w:w="28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WiBillPay</w:t>
            </w:r>
          </w:p>
        </w:tc>
        <w:tc>
          <w:tcPr>
            <w:tcW w:type="dxa" w:w="13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1.10.28</w:t>
            </w:r>
          </w:p>
        </w:tc>
        <w:tc>
          <w:tcPr>
            <w:tcW w:type="dxa" w:w="13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val="false"/>
                <w:bCs w:val="false"/>
                <w:color w:val="595959"/>
                <w:sz w:val="17"/>
                <w:szCs w:val="17"/>
              </w:rPr>
              <w:t xml:space="preserve">1.10.14</w:t>
            </w:r>
          </w:p>
        </w:tc>
        <w:tc>
          <w:tcPr>
            <w:tcW w:type="dxa" w:w="1700"/>
            <w:tcBorders>
              <w:top w:val="single" w:color="AAAAAA" w:sz="1"/>
              <w:left w:val="single" w:color="AAAAAA" w:sz="1"/>
              <w:bottom w:val="single" w:color="AAAAAA" w:sz="1"/>
              <w:right w:val="single" w:color="AAAAAA" w:sz="1"/>
            </w:tcBorders>
            <w:shd w:fill="E2EFDA" w:val="clear"/>
            <w:tcMar>
              <w:top w:type="dxa" w:w="80"/>
              <w:left w:type="dxa" w:w="100"/>
              <w:bottom w:type="dxa" w:w="80"/>
              <w:right w:type="dxa" w:w="100"/>
            </w:tcMar>
            <w:vAlign w:val="center"/>
          </w:tcPr>
          <w:p>
            <w:pPr>
              <w:jc w:val="center"/>
            </w:pPr>
            <w:r>
              <w:rPr>
                <w:rFonts w:ascii="Arial" w:cs="Arial" w:eastAsia="Arial" w:hAnsi="Arial"/>
                <w:b/>
                <w:bCs/>
                <w:color w:val="375623"/>
                <w:sz w:val="17"/>
                <w:szCs w:val="17"/>
              </w:rPr>
              <w:t xml:space="preserve">Completed</w:t>
            </w:r>
          </w:p>
        </w:tc>
        <w:tc>
          <w:tcPr>
            <w:tcW w:type="dxa" w:w="35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Completed 02/20 — icon updated on both AOS and iOS</w:t>
            </w:r>
          </w:p>
        </w:tc>
      </w:tr>
    </w:tbl>
    <w:p>
      <w:pPr>
        <w:spacing w:after="200" w:before="0"/>
      </w:pPr>
      <w:r>
        <w:t xml:space="preserve"/>
      </w:r>
    </w:p>
    <w:p>
      <w:r>
        <w:br w:type="page"/>
      </w:r>
    </w:p>
    <w:p>
      <w:pPr>
        <w:pBdr>
          <w:bottom w:val="single" w:color="1F3864" w:sz="6" w:space="4"/>
        </w:pBdr>
        <w:spacing w:after="160" w:before="240"/>
      </w:pPr>
      <w:r>
        <w:rPr>
          <w:rFonts w:ascii="Arial" w:cs="Arial" w:eastAsia="Arial" w:hAnsi="Arial"/>
          <w:b/>
          <w:bCs/>
          <w:color w:val="1F3864"/>
          <w:sz w:val="28"/>
          <w:szCs w:val="28"/>
        </w:rPr>
        <w:t xml:space="preserve">3. Web Scraping Team – COOCON Outsourcing (Q1 2026 Progress)</w:t>
      </w:r>
    </w:p>
    <w:p>
      <w:pPr>
        <w:spacing w:after="80" w:before="0"/>
      </w:pPr>
      <w:r>
        <w:t xml:space="preserve"/>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5200"/>
        <w:gridCol w:w="1700"/>
        <w:gridCol w:w="4798"/>
      </w:tblGrid>
      <w:tr>
        <w:trPr>
          <w:tblHeader/>
        </w:trPr>
        <w:tc>
          <w:tcPr>
            <w:tcW w:type="dxa" w:w="5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w:t>
            </w:r>
          </w:p>
        </w:tc>
        <w:tc>
          <w:tcPr>
            <w:tcW w:type="dxa" w:w="32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Module / System</w:t>
            </w:r>
          </w:p>
        </w:tc>
        <w:tc>
          <w:tcPr>
            <w:tcW w:type="dxa" w:w="52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Description</w:t>
            </w:r>
          </w:p>
        </w:tc>
        <w:tc>
          <w:tcPr>
            <w:tcW w:type="dxa" w:w="17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Status</w:t>
            </w:r>
          </w:p>
        </w:tc>
        <w:tc>
          <w:tcPr>
            <w:tcW w:type="dxa" w:w="4798"/>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Remarks</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1</w:t>
            </w:r>
          </w:p>
        </w:tc>
        <w:tc>
          <w:tcPr>
            <w:tcW w:type="dxa" w:w="3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e-KYC Service</w:t>
            </w:r>
          </w:p>
        </w:tc>
        <w:tc>
          <w:tcPr>
            <w:tcW w:type="dxa" w:w="5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e-KYC admin system enhancement; e-KYC front-end service maintenance</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47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Admin enhancements ongoing; front-end stability maintained</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2</w:t>
            </w:r>
          </w:p>
        </w:tc>
        <w:tc>
          <w:tcPr>
            <w:tcW w:type="dxa" w:w="3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WE-BANK / WEBILLING</w:t>
            </w:r>
          </w:p>
        </w:tc>
        <w:tc>
          <w:tcPr>
            <w:tcW w:type="dxa" w:w="5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CheckPay / GlobalPay, Voucher PG, CooconBilling admin management</w:t>
            </w:r>
          </w:p>
        </w:tc>
        <w:tc>
          <w:tcPr>
            <w:tcW w:type="dxa" w:w="1700"/>
            <w:tcBorders>
              <w:top w:val="single" w:color="AAAAAA" w:sz="1"/>
              <w:left w:val="single" w:color="AAAAAA" w:sz="1"/>
              <w:bottom w:val="single" w:color="AAAAAA" w:sz="1"/>
              <w:right w:val="single" w:color="AAAAAA" w:sz="1"/>
            </w:tcBorders>
            <w:shd w:fill="DEEAF1" w:val="clear"/>
            <w:tcMar>
              <w:top w:type="dxa" w:w="80"/>
              <w:left w:type="dxa" w:w="100"/>
              <w:bottom w:type="dxa" w:w="80"/>
              <w:right w:type="dxa" w:w="100"/>
            </w:tcMar>
            <w:vAlign w:val="center"/>
          </w:tcPr>
          <w:p>
            <w:pPr>
              <w:jc w:val="center"/>
            </w:pPr>
            <w:r>
              <w:rPr>
                <w:rFonts w:ascii="Arial" w:cs="Arial" w:eastAsia="Arial" w:hAnsi="Arial"/>
                <w:b/>
                <w:bCs/>
                <w:color w:val="1F3864"/>
                <w:sz w:val="17"/>
                <w:szCs w:val="17"/>
              </w:rPr>
              <w:t xml:space="preserve">Ongoing</w:t>
            </w:r>
          </w:p>
        </w:tc>
        <w:tc>
          <w:tcPr>
            <w:tcW w:type="dxa" w:w="47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Regular admin operations and system management</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3</w:t>
            </w:r>
          </w:p>
        </w:tc>
        <w:tc>
          <w:tcPr>
            <w:tcW w:type="dxa" w:w="3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CooconDotNet / CooconASP / Mobile</w:t>
            </w:r>
          </w:p>
        </w:tc>
        <w:tc>
          <w:tcPr>
            <w:tcW w:type="dxa" w:w="5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Additional feature requests and improvement modifications for web &amp; mobile platforms</w:t>
            </w:r>
          </w:p>
        </w:tc>
        <w:tc>
          <w:tcPr>
            <w:tcW w:type="dxa" w:w="1700"/>
            <w:tcBorders>
              <w:top w:val="single" w:color="AAAAAA" w:sz="1"/>
              <w:left w:val="single" w:color="AAAAAA" w:sz="1"/>
              <w:bottom w:val="single" w:color="AAAAAA" w:sz="1"/>
              <w:right w:val="single" w:color="AAAAAA" w:sz="1"/>
            </w:tcBorders>
            <w:shd w:fill="DEEAF1" w:val="clear"/>
            <w:tcMar>
              <w:top w:type="dxa" w:w="80"/>
              <w:left w:type="dxa" w:w="100"/>
              <w:bottom w:type="dxa" w:w="80"/>
              <w:right w:type="dxa" w:w="100"/>
            </w:tcMar>
            <w:vAlign w:val="center"/>
          </w:tcPr>
          <w:p>
            <w:pPr>
              <w:jc w:val="center"/>
            </w:pPr>
            <w:r>
              <w:rPr>
                <w:rFonts w:ascii="Arial" w:cs="Arial" w:eastAsia="Arial" w:hAnsi="Arial"/>
                <w:b/>
                <w:bCs/>
                <w:color w:val="1F3864"/>
                <w:sz w:val="17"/>
                <w:szCs w:val="17"/>
              </w:rPr>
              <w:t xml:space="preserve">Ongoing</w:t>
            </w:r>
          </w:p>
        </w:tc>
        <w:tc>
          <w:tcPr>
            <w:tcW w:type="dxa" w:w="47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Feature backlog being processed iteratively</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4</w:t>
            </w:r>
          </w:p>
        </w:tc>
        <w:tc>
          <w:tcPr>
            <w:tcW w:type="dxa" w:w="3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i-SAS Studio</w:t>
            </w:r>
          </w:p>
        </w:tc>
        <w:tc>
          <w:tcPr>
            <w:tcW w:type="dxa" w:w="5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Enhancement: new server migration, metadata management (Excel), login test addition (API Tester Menu)</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47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Server migration and API tester module in active development</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5</w:t>
            </w:r>
          </w:p>
        </w:tc>
        <w:tc>
          <w:tcPr>
            <w:tcW w:type="dxa" w:w="3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Financial Product Collection Admin</w:t>
            </w:r>
          </w:p>
        </w:tc>
        <w:tc>
          <w:tcPr>
            <w:tcW w:type="dxa" w:w="5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Admin card section enhancement &amp; additional development for financial product collection module</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47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Card module upgrade in progress</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6</w:t>
            </w:r>
          </w:p>
        </w:tc>
        <w:tc>
          <w:tcPr>
            <w:tcW w:type="dxa" w:w="3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Coocon Scraping Admin</w:t>
            </w:r>
          </w:p>
        </w:tc>
        <w:tc>
          <w:tcPr>
            <w:tcW w:type="dxa" w:w="5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Admin panel modification and additional development for scraping management</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47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Development sprint ongoing</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7</w:t>
            </w:r>
          </w:p>
        </w:tc>
        <w:tc>
          <w:tcPr>
            <w:tcW w:type="dxa" w:w="3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Public My Data (PDSM)</w:t>
            </w:r>
          </w:p>
        </w:tc>
        <w:tc>
          <w:tcPr>
            <w:tcW w:type="dxa" w:w="5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Q1 2026 development of Public My Data platform</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47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Key Q1 deliverable; development on track</w:t>
            </w:r>
          </w:p>
        </w:tc>
      </w:tr>
      <w:tr>
        <w:tc>
          <w:tcPr>
            <w:tcW w:type="dxa" w:w="5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8</w:t>
            </w:r>
          </w:p>
        </w:tc>
        <w:tc>
          <w:tcPr>
            <w:tcW w:type="dxa" w:w="3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CooconProxy Admin</w:t>
            </w:r>
          </w:p>
        </w:tc>
        <w:tc>
          <w:tcPr>
            <w:tcW w:type="dxa" w:w="5200"/>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Admin development for CooconProxy (expected completion within 3 months)</w:t>
            </w:r>
          </w:p>
        </w:tc>
        <w:tc>
          <w:tcPr>
            <w:tcW w:type="dxa" w:w="1700"/>
            <w:tcBorders>
              <w:top w:val="single" w:color="AAAAAA" w:sz="1"/>
              <w:left w:val="single" w:color="AAAAAA" w:sz="1"/>
              <w:bottom w:val="single" w:color="AAAAAA" w:sz="1"/>
              <w:right w:val="single" w:color="AAAAAA" w:sz="1"/>
            </w:tcBorders>
            <w:shd w:fill="EAE0F0" w:val="clear"/>
            <w:tcMar>
              <w:top w:type="dxa" w:w="80"/>
              <w:left w:type="dxa" w:w="100"/>
              <w:bottom w:type="dxa" w:w="80"/>
              <w:right w:type="dxa" w:w="100"/>
            </w:tcMar>
            <w:vAlign w:val="center"/>
          </w:tcPr>
          <w:p>
            <w:pPr>
              <w:jc w:val="center"/>
            </w:pPr>
            <w:r>
              <w:rPr>
                <w:rFonts w:ascii="Arial" w:cs="Arial" w:eastAsia="Arial" w:hAnsi="Arial"/>
                <w:b/>
                <w:bCs/>
                <w:color w:val="7030A0"/>
                <w:sz w:val="17"/>
                <w:szCs w:val="17"/>
              </w:rPr>
              <w:t xml:space="preserve">In Progress</w:t>
            </w:r>
          </w:p>
        </w:tc>
        <w:tc>
          <w:tcPr>
            <w:tcW w:type="dxa" w:w="4798"/>
            <w:tcBorders>
              <w:top w:val="single" w:color="AAAAAA" w:sz="1"/>
              <w:left w:val="single" w:color="AAAAAA" w:sz="1"/>
              <w:bottom w:val="single" w:color="AAAAAA" w:sz="1"/>
              <w:right w:val="single" w:color="AAAAAA" w:sz="1"/>
            </w:tcBorders>
            <w:shd w:fill="F5F5F5"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Target: Q2 2026 completion</w:t>
            </w:r>
          </w:p>
        </w:tc>
      </w:tr>
      <w:tr>
        <w:tc>
          <w:tcPr>
            <w:tcW w:type="dxa" w:w="5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center"/>
            </w:pPr>
            <w:r>
              <w:rPr>
                <w:rFonts w:ascii="Arial" w:cs="Arial" w:eastAsia="Arial" w:hAnsi="Arial"/>
                <w:b/>
                <w:bCs/>
                <w:color w:val="1F3864"/>
                <w:sz w:val="17"/>
                <w:szCs w:val="17"/>
              </w:rPr>
              <w:t xml:space="preserve">9</w:t>
            </w:r>
          </w:p>
        </w:tc>
        <w:tc>
          <w:tcPr>
            <w:tcW w:type="dxa" w:w="3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bCs/>
                <w:color w:val="2E5799"/>
                <w:sz w:val="17"/>
                <w:szCs w:val="17"/>
              </w:rPr>
              <w:t xml:space="preserve">Server Monitoring</w:t>
            </w:r>
          </w:p>
        </w:tc>
        <w:tc>
          <w:tcPr>
            <w:tcW w:type="dxa" w:w="5200"/>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SS server monitoring, SuGumBakSa scraping result checks, MWI server operation &amp; management</w:t>
            </w:r>
          </w:p>
        </w:tc>
        <w:tc>
          <w:tcPr>
            <w:tcW w:type="dxa" w:w="1700"/>
            <w:tcBorders>
              <w:top w:val="single" w:color="AAAAAA" w:sz="1"/>
              <w:left w:val="single" w:color="AAAAAA" w:sz="1"/>
              <w:bottom w:val="single" w:color="AAAAAA" w:sz="1"/>
              <w:right w:val="single" w:color="AAAAAA" w:sz="1"/>
            </w:tcBorders>
            <w:shd w:fill="DEEAF1" w:val="clear"/>
            <w:tcMar>
              <w:top w:type="dxa" w:w="80"/>
              <w:left w:type="dxa" w:w="100"/>
              <w:bottom w:type="dxa" w:w="80"/>
              <w:right w:type="dxa" w:w="100"/>
            </w:tcMar>
            <w:vAlign w:val="center"/>
          </w:tcPr>
          <w:p>
            <w:pPr>
              <w:jc w:val="center"/>
            </w:pPr>
            <w:r>
              <w:rPr>
                <w:rFonts w:ascii="Arial" w:cs="Arial" w:eastAsia="Arial" w:hAnsi="Arial"/>
                <w:b/>
                <w:bCs/>
                <w:color w:val="1F3864"/>
                <w:sz w:val="17"/>
                <w:szCs w:val="17"/>
              </w:rPr>
              <w:t xml:space="preserve">Ongoing</w:t>
            </w:r>
          </w:p>
        </w:tc>
        <w:tc>
          <w:tcPr>
            <w:tcW w:type="dxa" w:w="4798"/>
            <w:tcBorders>
              <w:top w:val="single" w:color="AAAAAA" w:sz="1"/>
              <w:left w:val="single" w:color="AAAAAA" w:sz="1"/>
              <w:bottom w:val="single" w:color="AAAAAA" w:sz="1"/>
              <w:right w:val="single" w:color="AAAAAA" w:sz="1"/>
            </w:tcBorders>
            <w:shd w:fill="FFFFFF" w:val="clear"/>
            <w:tcMar>
              <w:top w:type="dxa" w:w="80"/>
              <w:left w:type="dxa" w:w="130"/>
              <w:bottom w:type="dxa" w:w="80"/>
              <w:right w:type="dxa" w:w="130"/>
            </w:tcMar>
            <w:vAlign w:val="center"/>
          </w:tcPr>
          <w:p>
            <w:pPr>
              <w:jc w:val="left"/>
            </w:pPr>
            <w:r>
              <w:rPr>
                <w:rFonts w:ascii="Arial" w:cs="Arial" w:eastAsia="Arial" w:hAnsi="Arial"/>
                <w:b w:val="false"/>
                <w:bCs w:val="false"/>
                <w:color w:val="595959"/>
                <w:sz w:val="17"/>
                <w:szCs w:val="17"/>
              </w:rPr>
              <w:t xml:space="preserve">Continuous operational monitoring; no major incidents this week</w:t>
            </w:r>
          </w:p>
        </w:tc>
      </w:tr>
    </w:tbl>
    <w:p>
      <w:pPr>
        <w:spacing w:after="160" w:before="0"/>
      </w:pPr>
      <w:r>
        <w:t xml:space="preserve"/>
      </w:r>
    </w:p>
    <w:p>
      <w:pPr>
        <w:pBdr>
          <w:bottom w:val="single" w:color="1F3864" w:sz="6" w:space="4"/>
        </w:pBdr>
        <w:spacing w:after="160" w:before="240"/>
      </w:pPr>
      <w:r>
        <w:rPr>
          <w:rFonts w:ascii="Arial" w:cs="Arial" w:eastAsia="Arial" w:hAnsi="Arial"/>
          <w:b/>
          <w:bCs/>
          <w:color w:val="1F3864"/>
          <w:sz w:val="28"/>
          <w:szCs w:val="28"/>
        </w:rPr>
        <w:t xml:space="preserve">4. Scraping Team</w:t>
      </w:r>
    </w:p>
    <w:p>
      <w:pPr>
        <w:spacing w:after="80" w:before="0"/>
        <w:jc w:val="left"/>
      </w:pPr>
      <w:r>
        <w:rPr>
          <w:rFonts w:ascii="Arial" w:cs="Arial" w:eastAsia="Arial" w:hAnsi="Arial"/>
          <w:b w:val="false"/>
          <w:bCs w:val="false"/>
          <w:color w:val="595959"/>
          <w:sz w:val="19"/>
          <w:szCs w:val="19"/>
        </w:rPr>
        <w:t xml:space="preserve">No tasks or updates reported for this week. Team status to be reviewed in next reporting cycle.</w:t>
      </w:r>
    </w:p>
    <w:p>
      <w:pPr>
        <w:spacing w:after="200" w:before="0"/>
      </w:pPr>
      <w:r>
        <w:t xml:space="preserve"/>
      </w:r>
    </w:p>
    <w:p>
      <w:pPr>
        <w:pBdr>
          <w:bottom w:val="single" w:color="1F3864" w:sz="6" w:space="4"/>
        </w:pBdr>
        <w:spacing w:after="160" w:before="240"/>
      </w:pPr>
      <w:r>
        <w:rPr>
          <w:rFonts w:ascii="Arial" w:cs="Arial" w:eastAsia="Arial" w:hAnsi="Arial"/>
          <w:b/>
          <w:bCs/>
          <w:color w:val="1F3864"/>
          <w:sz w:val="28"/>
          <w:szCs w:val="28"/>
        </w:rPr>
        <w:t xml:space="preserve">Key Highlights &amp; Remarks</w:t>
      </w:r>
    </w:p>
    <w:p>
      <w:pPr>
        <w:spacing w:after="80" w:before="0"/>
      </w:pPr>
      <w:r>
        <w:t xml:space="preserve"/>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500"/>
        <w:gridCol w:w="10898"/>
      </w:tblGrid>
      <w:tr>
        <w:trPr>
          <w:tblHeader/>
        </w:trPr>
        <w:tc>
          <w:tcPr>
            <w:tcW w:type="dxa" w:w="4500"/>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Highlight</w:t>
            </w:r>
          </w:p>
        </w:tc>
        <w:tc>
          <w:tcPr>
            <w:tcW w:type="dxa" w:w="10898"/>
            <w:gridSpan w:val="1"/>
            <w:tcBorders>
              <w:top w:val="single" w:color="1F3864" w:sz="6"/>
              <w:left w:val="single" w:color="1F3864" w:sz="6"/>
              <w:bottom w:val="single" w:color="1F3864" w:sz="6"/>
              <w:right w:val="single" w:color="1F3864" w:sz="6"/>
            </w:tcBorders>
            <w:shd w:fill="1F3864" w:val="clear"/>
            <w:tcMar>
              <w:top w:type="dxa" w:w="100"/>
              <w:left w:type="dxa" w:w="130"/>
              <w:bottom w:type="dxa" w:w="100"/>
              <w:right w:type="dxa" w:w="130"/>
            </w:tcMar>
            <w:vAlign w:val="center"/>
          </w:tcPr>
          <w:p>
            <w:pPr>
              <w:jc w:val="center"/>
            </w:pPr>
            <w:r>
              <w:rPr>
                <w:rFonts w:ascii="Arial" w:cs="Arial" w:eastAsia="Arial" w:hAnsi="Arial"/>
                <w:b/>
                <w:bCs/>
                <w:color w:val="FFFFFF"/>
                <w:sz w:val="18"/>
                <w:szCs w:val="18"/>
              </w:rPr>
              <w:t xml:space="preserve">Detail</w:t>
            </w:r>
          </w:p>
        </w:tc>
      </w:tr>
      <w:tr>
        <w:tc>
          <w:tcPr>
            <w:tcW w:type="dxa" w:w="4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r>
              <w:rPr>
                <w:rFonts w:ascii="Arial" w:cs="Arial" w:eastAsia="Arial" w:hAnsi="Arial"/>
                <w:b/>
                <w:bCs/>
                <w:color w:val="FFFFFF"/>
                <w:sz w:val="18"/>
                <w:szCs w:val="18"/>
              </w:rPr>
              <w:t xml:space="preserve">MFI Onboarding – Prime &amp; Maxima</w:t>
            </w:r>
          </w:p>
        </w:tc>
        <w:tc>
          <w:tcPr>
            <w:tcW w:type="dxa" w:w="10898"/>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r>
              <w:rPr>
                <w:rFonts w:ascii="Arial" w:cs="Arial" w:eastAsia="Arial" w:hAnsi="Arial"/>
                <w:color w:val="595959"/>
                <w:sz w:val="18"/>
                <w:szCs w:val="18"/>
              </w:rPr>
              <w:t xml:space="preserve">Both Prime MFI and Maxima MFI have reached 90% NBC submission and technical UAT. Production is active. MOU signing and service launch are the final pending milestones.</w:t>
            </w:r>
          </w:p>
        </w:tc>
      </w:tr>
      <w:tr>
        <w:tc>
          <w:tcPr>
            <w:tcW w:type="dxa" w:w="4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r>
              <w:rPr>
                <w:rFonts w:ascii="Arial" w:cs="Arial" w:eastAsia="Arial" w:hAnsi="Arial"/>
                <w:b/>
                <w:bCs/>
                <w:color w:val="FFFFFF"/>
                <w:sz w:val="18"/>
                <w:szCs w:val="18"/>
              </w:rPr>
              <w:t xml:space="preserve">KongKea Capital – Early Stage</w:t>
            </w:r>
          </w:p>
        </w:tc>
        <w:tc>
          <w:tcPr>
            <w:tcW w:type="dxa" w:w="10898"/>
            <w:tcBorders>
              <w:top w:val="single" w:color="AAAAAA" w:sz="1"/>
              <w:left w:val="single" w:color="AAAAAA" w:sz="1"/>
              <w:bottom w:val="single" w:color="AAAAAA" w:sz="1"/>
              <w:right w:val="single" w:color="AAAAAA" w:sz="1"/>
            </w:tcBorders>
            <w:shd w:fill="DEEAF1" w:val="clear"/>
            <w:tcMar>
              <w:top w:type="dxa" w:w="100"/>
              <w:left w:type="dxa" w:w="140"/>
              <w:bottom w:type="dxa" w:w="100"/>
              <w:right w:type="dxa" w:w="140"/>
            </w:tcMar>
            <w:vAlign w:val="center"/>
          </w:tcPr>
          <w:p>
            <w:r>
              <w:rPr>
                <w:rFonts w:ascii="Arial" w:cs="Arial" w:eastAsia="Arial" w:hAnsi="Arial"/>
                <w:color w:val="595959"/>
                <w:sz w:val="18"/>
                <w:szCs w:val="18"/>
              </w:rPr>
              <w:t xml:space="preserve">KongKea Capital is at 20% NBC/UAT. Accelerated support is needed to bring them in line with Prime and Maxima.</w:t>
            </w:r>
          </w:p>
        </w:tc>
      </w:tr>
      <w:tr>
        <w:tc>
          <w:tcPr>
            <w:tcW w:type="dxa" w:w="4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r>
              <w:rPr>
                <w:rFonts w:ascii="Arial" w:cs="Arial" w:eastAsia="Arial" w:hAnsi="Arial"/>
                <w:b/>
                <w:bCs/>
                <w:color w:val="FFFFFF"/>
                <w:sz w:val="18"/>
                <w:szCs w:val="18"/>
              </w:rPr>
              <w:t xml:space="preserve">WeLoan / WeUMS – BAMC Finance</w:t>
            </w:r>
          </w:p>
        </w:tc>
        <w:tc>
          <w:tcPr>
            <w:tcW w:type="dxa" w:w="10898"/>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r>
              <w:rPr>
                <w:rFonts w:ascii="Arial" w:cs="Arial" w:eastAsia="Arial" w:hAnsi="Arial"/>
                <w:color w:val="595959"/>
                <w:sz w:val="18"/>
                <w:szCs w:val="18"/>
              </w:rPr>
              <w:t xml:space="preserve">NDA with BAMC Finance is 99% complete. WeUMS contract was signed on 13 February 2026. SMS issue (6,051 messages) fully resolved.</w:t>
            </w:r>
          </w:p>
        </w:tc>
      </w:tr>
      <w:tr>
        <w:tc>
          <w:tcPr>
            <w:tcW w:type="dxa" w:w="4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r>
              <w:rPr>
                <w:rFonts w:ascii="Arial" w:cs="Arial" w:eastAsia="Arial" w:hAnsi="Arial"/>
                <w:b/>
                <w:bCs/>
                <w:color w:val="FFFFFF"/>
                <w:sz w:val="18"/>
                <w:szCs w:val="18"/>
              </w:rPr>
              <w:t xml:space="preserve">GDDE (We-Invoice) Expansion</w:t>
            </w:r>
          </w:p>
        </w:tc>
        <w:tc>
          <w:tcPr>
            <w:tcW w:type="dxa" w:w="10898"/>
            <w:tcBorders>
              <w:top w:val="single" w:color="AAAAAA" w:sz="1"/>
              <w:left w:val="single" w:color="AAAAAA" w:sz="1"/>
              <w:bottom w:val="single" w:color="AAAAAA" w:sz="1"/>
              <w:right w:val="single" w:color="AAAAAA" w:sz="1"/>
            </w:tcBorders>
            <w:shd w:fill="DEEAF1" w:val="clear"/>
            <w:tcMar>
              <w:top w:type="dxa" w:w="100"/>
              <w:left w:type="dxa" w:w="140"/>
              <w:bottom w:type="dxa" w:w="100"/>
              <w:right w:type="dxa" w:w="140"/>
            </w:tcMar>
            <w:vAlign w:val="center"/>
          </w:tcPr>
          <w:p>
            <w:r>
              <w:rPr>
                <w:rFonts w:ascii="Arial" w:cs="Arial" w:eastAsia="Arial" w:hAnsi="Arial"/>
                <w:color w:val="595959"/>
                <w:sz w:val="18"/>
                <w:szCs w:val="18"/>
              </w:rPr>
              <w:t xml:space="preserve">MOU completed with 30 companies. Five initial companies begin onboarding. E-Invoice AC system integration planning commenced.</w:t>
            </w:r>
          </w:p>
        </w:tc>
      </w:tr>
      <w:tr>
        <w:tc>
          <w:tcPr>
            <w:tcW w:type="dxa" w:w="4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r>
              <w:rPr>
                <w:rFonts w:ascii="Arial" w:cs="Arial" w:eastAsia="Arial" w:hAnsi="Arial"/>
                <w:b/>
                <w:bCs/>
                <w:color w:val="FFFFFF"/>
                <w:sz w:val="18"/>
                <w:szCs w:val="18"/>
              </w:rPr>
              <w:t xml:space="preserve">KB Prasac Bank Presentation</w:t>
            </w:r>
          </w:p>
        </w:tc>
        <w:tc>
          <w:tcPr>
            <w:tcW w:type="dxa" w:w="10898"/>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r>
              <w:rPr>
                <w:rFonts w:ascii="Arial" w:cs="Arial" w:eastAsia="Arial" w:hAnsi="Arial"/>
                <w:color w:val="595959"/>
                <w:sz w:val="18"/>
                <w:szCs w:val="18"/>
              </w:rPr>
              <w:t xml:space="preserve">Full product presentation (WeBill365 + WeLoan + WeUMS) is scheduled for March 28. Materials preparation is required urgently.</w:t>
            </w:r>
          </w:p>
        </w:tc>
      </w:tr>
      <w:tr>
        <w:tc>
          <w:tcPr>
            <w:tcW w:type="dxa" w:w="4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r>
              <w:rPr>
                <w:rFonts w:ascii="Arial" w:cs="Arial" w:eastAsia="Arial" w:hAnsi="Arial"/>
                <w:b/>
                <w:bCs/>
                <w:color w:val="FFFFFF"/>
                <w:sz w:val="18"/>
                <w:szCs w:val="18"/>
              </w:rPr>
              <w:t xml:space="preserve">AMK Microfinance – Institutional Transition</w:t>
            </w:r>
          </w:p>
        </w:tc>
        <w:tc>
          <w:tcPr>
            <w:tcW w:type="dxa" w:w="10898"/>
            <w:tcBorders>
              <w:top w:val="single" w:color="AAAAAA" w:sz="1"/>
              <w:left w:val="single" w:color="AAAAAA" w:sz="1"/>
              <w:bottom w:val="single" w:color="AAAAAA" w:sz="1"/>
              <w:right w:val="single" w:color="AAAAAA" w:sz="1"/>
            </w:tcBorders>
            <w:shd w:fill="DEEAF1" w:val="clear"/>
            <w:tcMar>
              <w:top w:type="dxa" w:w="100"/>
              <w:left w:type="dxa" w:w="140"/>
              <w:bottom w:type="dxa" w:w="100"/>
              <w:right w:type="dxa" w:w="140"/>
            </w:tcMar>
            <w:vAlign w:val="center"/>
          </w:tcPr>
          <w:p>
            <w:r>
              <w:rPr>
                <w:rFonts w:ascii="Arial" w:cs="Arial" w:eastAsia="Arial" w:hAnsi="Arial"/>
                <w:color w:val="595959"/>
                <w:sz w:val="18"/>
                <w:szCs w:val="18"/>
              </w:rPr>
              <w:t xml:space="preserve">AMK Microfinance is transitioning to AMK Commercial Bank. MOU is being updated accordingly. Presentation to Ms. Sodheath planned for March 29.</w:t>
            </w:r>
          </w:p>
        </w:tc>
      </w:tr>
      <w:tr>
        <w:tc>
          <w:tcPr>
            <w:tcW w:type="dxa" w:w="4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r>
              <w:rPr>
                <w:rFonts w:ascii="Arial" w:cs="Arial" w:eastAsia="Arial" w:hAnsi="Arial"/>
                <w:b/>
                <w:bCs/>
                <w:color w:val="FFFFFF"/>
                <w:sz w:val="18"/>
                <w:szCs w:val="18"/>
              </w:rPr>
              <w:t xml:space="preserve">Bakong Partnership</w:t>
            </w:r>
          </w:p>
        </w:tc>
        <w:tc>
          <w:tcPr>
            <w:tcW w:type="dxa" w:w="10898"/>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r>
              <w:rPr>
                <w:rFonts w:ascii="Arial" w:cs="Arial" w:eastAsia="Arial" w:hAnsi="Arial"/>
                <w:color w:val="595959"/>
                <w:sz w:val="18"/>
                <w:szCs w:val="18"/>
              </w:rPr>
              <w:t xml:space="preserve">KOSIGN-Bakong business partnership session on WeBill365 was successfully completed on March 15, 2026.</w:t>
            </w:r>
          </w:p>
        </w:tc>
      </w:tr>
      <w:tr>
        <w:tc>
          <w:tcPr>
            <w:tcW w:type="dxa" w:w="4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r>
              <w:rPr>
                <w:rFonts w:ascii="Arial" w:cs="Arial" w:eastAsia="Arial" w:hAnsi="Arial"/>
                <w:b/>
                <w:bCs/>
                <w:color w:val="FFFFFF"/>
                <w:sz w:val="18"/>
                <w:szCs w:val="18"/>
              </w:rPr>
              <w:t xml:space="preserve">Mobile – iPPP Tmap Route Feature</w:t>
            </w:r>
          </w:p>
        </w:tc>
        <w:tc>
          <w:tcPr>
            <w:tcW w:type="dxa" w:w="10898"/>
            <w:tcBorders>
              <w:top w:val="single" w:color="AAAAAA" w:sz="1"/>
              <w:left w:val="single" w:color="AAAAAA" w:sz="1"/>
              <w:bottom w:val="single" w:color="AAAAAA" w:sz="1"/>
              <w:right w:val="single" w:color="AAAAAA" w:sz="1"/>
            </w:tcBorders>
            <w:shd w:fill="DEEAF1" w:val="clear"/>
            <w:tcMar>
              <w:top w:type="dxa" w:w="100"/>
              <w:left w:type="dxa" w:w="140"/>
              <w:bottom w:type="dxa" w:w="100"/>
              <w:right w:type="dxa" w:w="140"/>
            </w:tcMar>
            <w:vAlign w:val="center"/>
          </w:tcPr>
          <w:p>
            <w:r>
              <w:rPr>
                <w:rFonts w:ascii="Arial" w:cs="Arial" w:eastAsia="Arial" w:hAnsi="Arial"/>
                <w:color w:val="595959"/>
                <w:sz w:val="18"/>
                <w:szCs w:val="18"/>
              </w:rPr>
              <w:t xml:space="preserve">Tmap route function change (adding 8 hardlink routes) is in progress as of 03/06 under iPPP Business Play 4.0 v1.7.8. Completion expected soon.</w:t>
            </w:r>
          </w:p>
        </w:tc>
      </w:tr>
      <w:tr>
        <w:tc>
          <w:tcPr>
            <w:tcW w:type="dxa" w:w="4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r>
              <w:rPr>
                <w:rFonts w:ascii="Arial" w:cs="Arial" w:eastAsia="Arial" w:hAnsi="Arial"/>
                <w:b/>
                <w:bCs/>
                <w:color w:val="FFFFFF"/>
                <w:sz w:val="18"/>
                <w:szCs w:val="18"/>
              </w:rPr>
              <w:t xml:space="preserve">Mobile – WiBillPay Milestones</w:t>
            </w:r>
          </w:p>
        </w:tc>
        <w:tc>
          <w:tcPr>
            <w:tcW w:type="dxa" w:w="10898"/>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r>
              <w:rPr>
                <w:rFonts w:ascii="Arial" w:cs="Arial" w:eastAsia="Arial" w:hAnsi="Arial"/>
                <w:color w:val="595959"/>
                <w:sz w:val="18"/>
                <w:szCs w:val="18"/>
              </w:rPr>
              <w:t xml:space="preserve">Two WiBillPay milestones completed: Gongju Bank avatar attendance integration (01/26) and attendance icon design update (02/20).</w:t>
            </w:r>
          </w:p>
        </w:tc>
      </w:tr>
      <w:tr>
        <w:tc>
          <w:tcPr>
            <w:tcW w:type="dxa" w:w="4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r>
              <w:rPr>
                <w:rFonts w:ascii="Arial" w:cs="Arial" w:eastAsia="Arial" w:hAnsi="Arial"/>
                <w:b/>
                <w:bCs/>
                <w:color w:val="FFFFFF"/>
                <w:sz w:val="18"/>
                <w:szCs w:val="18"/>
              </w:rPr>
              <w:t xml:space="preserve">COOCON – PDSM &amp; CooconProxy</w:t>
            </w:r>
          </w:p>
        </w:tc>
        <w:tc>
          <w:tcPr>
            <w:tcW w:type="dxa" w:w="10898"/>
            <w:tcBorders>
              <w:top w:val="single" w:color="AAAAAA" w:sz="1"/>
              <w:left w:val="single" w:color="AAAAAA" w:sz="1"/>
              <w:bottom w:val="single" w:color="AAAAAA" w:sz="1"/>
              <w:right w:val="single" w:color="AAAAAA" w:sz="1"/>
            </w:tcBorders>
            <w:shd w:fill="DEEAF1" w:val="clear"/>
            <w:tcMar>
              <w:top w:type="dxa" w:w="100"/>
              <w:left w:type="dxa" w:w="140"/>
              <w:bottom w:type="dxa" w:w="100"/>
              <w:right w:type="dxa" w:w="140"/>
            </w:tcMar>
            <w:vAlign w:val="center"/>
          </w:tcPr>
          <w:p>
            <w:r>
              <w:rPr>
                <w:rFonts w:ascii="Arial" w:cs="Arial" w:eastAsia="Arial" w:hAnsi="Arial"/>
                <w:color w:val="595959"/>
                <w:sz w:val="18"/>
                <w:szCs w:val="18"/>
              </w:rPr>
              <w:t xml:space="preserve">Public My Data (PDSM) development is on track as a key Q1 milestone. CooconProxy Admin is targeting Q2 2026 (within 3 months).</w:t>
            </w:r>
          </w:p>
        </w:tc>
      </w:tr>
      <w:tr>
        <w:tc>
          <w:tcPr>
            <w:tcW w:type="dxa" w:w="4500"/>
            <w:tcBorders>
              <w:top w:val="single" w:color="AAAAAA" w:sz="1"/>
              <w:left w:val="single" w:color="AAAAAA" w:sz="1"/>
              <w:bottom w:val="single" w:color="AAAAAA" w:sz="1"/>
              <w:right w:val="single" w:color="AAAAAA" w:sz="1"/>
            </w:tcBorders>
            <w:shd w:fill="1F3864" w:val="clear"/>
            <w:tcMar>
              <w:top w:type="dxa" w:w="100"/>
              <w:left w:type="dxa" w:w="140"/>
              <w:bottom w:type="dxa" w:w="100"/>
              <w:right w:type="dxa" w:w="140"/>
            </w:tcMar>
            <w:vAlign w:val="center"/>
          </w:tcPr>
          <w:p>
            <w:r>
              <w:rPr>
                <w:rFonts w:ascii="Arial" w:cs="Arial" w:eastAsia="Arial" w:hAnsi="Arial"/>
                <w:b/>
                <w:bCs/>
                <w:color w:val="FFFFFF"/>
                <w:sz w:val="18"/>
                <w:szCs w:val="18"/>
              </w:rPr>
              <w:t xml:space="preserve">Scraping Team</w:t>
            </w:r>
          </w:p>
        </w:tc>
        <w:tc>
          <w:tcPr>
            <w:tcW w:type="dxa" w:w="10898"/>
            <w:tcBorders>
              <w:top w:val="single" w:color="AAAAAA" w:sz="1"/>
              <w:left w:val="single" w:color="AAAAAA" w:sz="1"/>
              <w:bottom w:val="single" w:color="AAAAAA" w:sz="1"/>
              <w:right w:val="single" w:color="AAAAAA" w:sz="1"/>
            </w:tcBorders>
            <w:shd w:fill="FFFFFF" w:val="clear"/>
            <w:tcMar>
              <w:top w:type="dxa" w:w="100"/>
              <w:left w:type="dxa" w:w="140"/>
              <w:bottom w:type="dxa" w:w="100"/>
              <w:right w:type="dxa" w:w="140"/>
            </w:tcMar>
            <w:vAlign w:val="center"/>
          </w:tcPr>
          <w:p>
            <w:r>
              <w:rPr>
                <w:rFonts w:ascii="Arial" w:cs="Arial" w:eastAsia="Arial" w:hAnsi="Arial"/>
                <w:color w:val="595959"/>
                <w:sz w:val="18"/>
                <w:szCs w:val="18"/>
              </w:rPr>
              <w:t xml:space="preserve">No activity reported this week. Team pipeline and utilization to be reviewed in next cycle.</w:t>
            </w:r>
          </w:p>
        </w:tc>
      </w:tr>
    </w:tbl>
    <w:p>
      <w:pPr>
        <w:spacing w:after="200" w:before="0"/>
      </w:pPr>
      <w:r>
        <w:t xml:space="preserve"/>
      </w:r>
    </w:p>
    <w:p>
      <w:pPr>
        <w:spacing w:after="0" w:before="120"/>
        <w:jc w:val="right"/>
      </w:pPr>
      <w:r>
        <w:rPr>
          <w:rFonts w:ascii="Arial" w:cs="Arial" w:eastAsia="Arial" w:hAnsi="Arial"/>
          <w:i/>
          <w:iCs/>
          <w:color w:val="595959"/>
          <w:sz w:val="17"/>
          <w:szCs w:val="17"/>
        </w:rPr>
        <w:t xml:space="preserve">Prepared by KOSIGN Business Operations Team  |  March 19, 2026</w:t>
      </w:r>
    </w:p>
    <w:sectPr>
      <w:headerReference w:type="default" r:id="rId7"/>
      <w:footerReference w:type="default" r:id="rId8"/>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4"/>
      </w:pBdr>
      <w:tabs>
        <w:tab w:val="right" w:pos="9026"/>
      </w:tabs>
    </w:pPr>
    <w:r>
      <w:rPr>
        <w:rFonts w:ascii="Arial" w:cs="Arial" w:eastAsia="Arial" w:hAnsi="Arial"/>
        <w:color w:val="595959"/>
        <w:sz w:val="17"/>
        <w:szCs w:val="17"/>
      </w:rPr>
      <w:t xml:space="preserve">KOSIGN Co., Ltd.  |  laybunnavitou@kosign.com.kh</w:t>
    </w:r>
    <w:r>
      <w:rPr>
        <w:rFonts w:ascii="Arial" w:cs="Arial" w:eastAsia="Arial" w:hAnsi="Arial"/>
        <w:color w:val="595959"/>
        <w:sz w:val="17"/>
        <w:szCs w:val="17"/>
      </w:rPr>
      <w:t xml:space="preserve">	Page </w:t>
    </w:r>
    <w:r>
      <w:rPr>
        <w:rFonts w:ascii="Arial" w:cs="Arial" w:eastAsia="Arial" w:hAnsi="Arial"/>
        <w:b/>
        <w:bCs/>
        <w:color w:val="1F3864"/>
        <w:sz w:val="17"/>
        <w:szCs w:val="17"/>
      </w:rPr>
      <w:fldChar w:fldCharType="begin"/>
      <w:instrText xml:space="preserve">PAGE</w:instrText>
      <w:fldChar w:fldCharType="separate"/>
      <w:fldChar w:fldCharType="end"/>
    </w:r>
    <w:r>
      <w:rPr>
        <w:rFonts w:ascii="Arial" w:cs="Arial" w:eastAsia="Arial" w:hAnsi="Arial"/>
        <w:color w:val="595959"/>
        <w:sz w:val="17"/>
        <w:szCs w:val="17"/>
      </w:rPr>
      <w:t xml:space="preserve"> of </w:t>
    </w:r>
    <w:r>
      <w:rPr>
        <w:rFonts w:ascii="Arial" w:cs="Arial" w:eastAsia="Arial" w:hAnsi="Arial"/>
        <w:b/>
        <w:bCs/>
        <w:color w:val="1F3864"/>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pPr>
    <w:r>
      <w:rPr>
        <w:rFonts w:ascii="Arial" w:cs="Arial" w:eastAsia="Arial" w:hAnsi="Arial"/>
        <w:b/>
        <w:bCs/>
        <w:color w:val="1F3864"/>
        <w:sz w:val="18"/>
        <w:szCs w:val="18"/>
      </w:rPr>
      <w:t xml:space="preserve">KOSIGN WEEKLY REPORT – Week of March 23, 2026</w:t>
    </w:r>
    <w:r>
      <w:rPr>
        <w:rFonts w:ascii="Arial" w:cs="Arial" w:eastAsia="Arial" w:hAnsi="Arial"/>
        <w:color w:val="595959"/>
        <w:sz w:val="17"/>
        <w:szCs w:val="17"/>
      </w:rPr>
      <w:t xml:space="preserve">	CONFIDENTIAL | FOR CEO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2026-03-19T04:56:45.500Z</dcterms:created>
  <dcterms:modified xsi:type="dcterms:W3CDTF">2026-03-19T04:56:45.501Z</dcterms:modified>
</cp:coreProperties>
</file>

<file path=docProps/custom.xml><?xml version="1.0" encoding="utf-8"?>
<Properties xmlns="http://schemas.openxmlformats.org/officeDocument/2006/custom-properties" xmlns:vt="http://schemas.openxmlformats.org/officeDocument/2006/docPropsVTypes"/>
</file>