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4AC" w:rsidRPr="001B6CF1" w:rsidRDefault="007B64AC" w:rsidP="006D026C">
      <w:pPr>
        <w:numPr>
          <w:ilvl w:val="0"/>
          <w:numId w:val="1"/>
        </w:numPr>
        <w:ind w:left="360"/>
        <w:rPr>
          <w:sz w:val="22"/>
          <w:szCs w:val="22"/>
        </w:rPr>
      </w:pPr>
      <w:r w:rsidRPr="001B6CF1">
        <w:rPr>
          <w:sz w:val="22"/>
          <w:szCs w:val="22"/>
        </w:rPr>
        <w:t>Compute standard deviation of each attribute. Compute boxplots for each attribute and interpret the results. Which attributes have the most variation. Are there any outliers in any of the attributes?</w:t>
      </w:r>
    </w:p>
    <w:tbl>
      <w:tblPr>
        <w:tblStyle w:val="TableGrid"/>
        <w:tblpPr w:leftFromText="180" w:rightFromText="180" w:vertAnchor="text" w:horzAnchor="page" w:tblpXSpec="center" w:tblpY="177"/>
        <w:tblW w:w="0" w:type="auto"/>
        <w:tblLayout w:type="fixed"/>
        <w:tblLook w:val="0000" w:firstRow="0" w:lastRow="0" w:firstColumn="0" w:lastColumn="0" w:noHBand="0" w:noVBand="0"/>
      </w:tblPr>
      <w:tblGrid>
        <w:gridCol w:w="1885"/>
        <w:gridCol w:w="1861"/>
        <w:gridCol w:w="1711"/>
        <w:gridCol w:w="1708"/>
      </w:tblGrid>
      <w:tr w:rsidR="001B6CF1" w:rsidRPr="001B6CF1" w:rsidTr="006D026C">
        <w:trPr>
          <w:trHeight w:val="103"/>
        </w:trPr>
        <w:tc>
          <w:tcPr>
            <w:tcW w:w="1885" w:type="dxa"/>
          </w:tcPr>
          <w:p w:rsidR="006D026C" w:rsidRPr="00251EB1" w:rsidRDefault="006D026C" w:rsidP="006D026C">
            <w:pPr>
              <w:autoSpaceDE w:val="0"/>
              <w:autoSpaceDN w:val="0"/>
              <w:adjustRightInd w:val="0"/>
              <w:ind w:left="360"/>
              <w:rPr>
                <w:color w:val="000000"/>
                <w:sz w:val="22"/>
                <w:szCs w:val="22"/>
              </w:rPr>
            </w:pPr>
            <w:r w:rsidRPr="00251EB1">
              <w:rPr>
                <w:color w:val="000000"/>
                <w:sz w:val="22"/>
                <w:szCs w:val="22"/>
              </w:rPr>
              <w:t>Sepal.Length</w:t>
            </w:r>
          </w:p>
        </w:tc>
        <w:tc>
          <w:tcPr>
            <w:tcW w:w="1861" w:type="dxa"/>
          </w:tcPr>
          <w:p w:rsidR="006D026C" w:rsidRPr="00251EB1" w:rsidRDefault="006D026C" w:rsidP="006D026C">
            <w:pPr>
              <w:autoSpaceDE w:val="0"/>
              <w:autoSpaceDN w:val="0"/>
              <w:adjustRightInd w:val="0"/>
              <w:ind w:left="360"/>
              <w:rPr>
                <w:color w:val="000000"/>
                <w:sz w:val="22"/>
                <w:szCs w:val="22"/>
              </w:rPr>
            </w:pPr>
            <w:r w:rsidRPr="00251EB1">
              <w:rPr>
                <w:color w:val="000000"/>
                <w:sz w:val="22"/>
                <w:szCs w:val="22"/>
              </w:rPr>
              <w:t>Sepal.Width</w:t>
            </w:r>
          </w:p>
        </w:tc>
        <w:tc>
          <w:tcPr>
            <w:tcW w:w="1711" w:type="dxa"/>
          </w:tcPr>
          <w:p w:rsidR="006D026C" w:rsidRPr="00251EB1" w:rsidRDefault="006D026C" w:rsidP="006D026C">
            <w:pPr>
              <w:autoSpaceDE w:val="0"/>
              <w:autoSpaceDN w:val="0"/>
              <w:adjustRightInd w:val="0"/>
              <w:ind w:left="360"/>
              <w:rPr>
                <w:color w:val="000000"/>
                <w:sz w:val="22"/>
                <w:szCs w:val="22"/>
              </w:rPr>
            </w:pPr>
            <w:r w:rsidRPr="00251EB1">
              <w:rPr>
                <w:color w:val="000000"/>
                <w:sz w:val="22"/>
                <w:szCs w:val="22"/>
              </w:rPr>
              <w:t>Petal.Length</w:t>
            </w:r>
          </w:p>
        </w:tc>
        <w:tc>
          <w:tcPr>
            <w:tcW w:w="1708" w:type="dxa"/>
          </w:tcPr>
          <w:p w:rsidR="006D026C" w:rsidRPr="00251EB1" w:rsidRDefault="006D026C" w:rsidP="006D026C">
            <w:pPr>
              <w:autoSpaceDE w:val="0"/>
              <w:autoSpaceDN w:val="0"/>
              <w:adjustRightInd w:val="0"/>
              <w:ind w:left="360"/>
              <w:rPr>
                <w:color w:val="000000"/>
                <w:sz w:val="22"/>
                <w:szCs w:val="22"/>
              </w:rPr>
            </w:pPr>
            <w:proofErr w:type="spellStart"/>
            <w:r w:rsidRPr="00251EB1">
              <w:rPr>
                <w:color w:val="000000"/>
                <w:sz w:val="22"/>
                <w:szCs w:val="22"/>
              </w:rPr>
              <w:t>Petal.Width</w:t>
            </w:r>
            <w:proofErr w:type="spellEnd"/>
          </w:p>
        </w:tc>
      </w:tr>
      <w:tr w:rsidR="006D026C" w:rsidRPr="001B6CF1" w:rsidTr="006D026C">
        <w:trPr>
          <w:trHeight w:val="103"/>
        </w:trPr>
        <w:tc>
          <w:tcPr>
            <w:tcW w:w="1885" w:type="dxa"/>
          </w:tcPr>
          <w:p w:rsidR="003F22BB" w:rsidRPr="003F22BB" w:rsidRDefault="007E4B06" w:rsidP="006D026C">
            <w:pPr>
              <w:autoSpaceDE w:val="0"/>
              <w:autoSpaceDN w:val="0"/>
              <w:adjustRightInd w:val="0"/>
              <w:ind w:left="360"/>
              <w:rPr>
                <w:color w:val="000000"/>
                <w:sz w:val="22"/>
                <w:szCs w:val="22"/>
              </w:rPr>
            </w:pPr>
            <w:r w:rsidRPr="001B6CF1">
              <w:rPr>
                <w:color w:val="000000"/>
                <w:sz w:val="22"/>
                <w:szCs w:val="22"/>
              </w:rPr>
              <w:t>0.8280661</w:t>
            </w:r>
          </w:p>
        </w:tc>
        <w:tc>
          <w:tcPr>
            <w:tcW w:w="1861" w:type="dxa"/>
          </w:tcPr>
          <w:p w:rsidR="003F22BB" w:rsidRPr="003F22BB" w:rsidRDefault="007E4B06" w:rsidP="006D026C">
            <w:pPr>
              <w:autoSpaceDE w:val="0"/>
              <w:autoSpaceDN w:val="0"/>
              <w:adjustRightInd w:val="0"/>
              <w:ind w:left="360"/>
              <w:rPr>
                <w:color w:val="000000"/>
                <w:sz w:val="22"/>
                <w:szCs w:val="22"/>
              </w:rPr>
            </w:pPr>
            <w:r w:rsidRPr="001B6CF1">
              <w:rPr>
                <w:color w:val="000000"/>
                <w:sz w:val="22"/>
                <w:szCs w:val="22"/>
              </w:rPr>
              <w:t>0.4358663</w:t>
            </w:r>
          </w:p>
        </w:tc>
        <w:tc>
          <w:tcPr>
            <w:tcW w:w="1711" w:type="dxa"/>
          </w:tcPr>
          <w:p w:rsidR="003F22BB" w:rsidRPr="003F22BB" w:rsidRDefault="007E4B06" w:rsidP="006D026C">
            <w:pPr>
              <w:autoSpaceDE w:val="0"/>
              <w:autoSpaceDN w:val="0"/>
              <w:adjustRightInd w:val="0"/>
              <w:ind w:left="360"/>
              <w:rPr>
                <w:color w:val="000000"/>
                <w:sz w:val="22"/>
                <w:szCs w:val="22"/>
              </w:rPr>
            </w:pPr>
            <w:r w:rsidRPr="001B6CF1">
              <w:rPr>
                <w:color w:val="000000"/>
                <w:sz w:val="22"/>
                <w:szCs w:val="22"/>
              </w:rPr>
              <w:t>1.765298</w:t>
            </w:r>
          </w:p>
        </w:tc>
        <w:tc>
          <w:tcPr>
            <w:tcW w:w="1708" w:type="dxa"/>
          </w:tcPr>
          <w:p w:rsidR="003F22BB" w:rsidRPr="003F22BB" w:rsidRDefault="007E4B06" w:rsidP="006D026C">
            <w:pPr>
              <w:autoSpaceDE w:val="0"/>
              <w:autoSpaceDN w:val="0"/>
              <w:adjustRightInd w:val="0"/>
              <w:ind w:left="360"/>
              <w:rPr>
                <w:color w:val="000000"/>
                <w:sz w:val="22"/>
                <w:szCs w:val="22"/>
              </w:rPr>
            </w:pPr>
            <w:r w:rsidRPr="001B6CF1">
              <w:rPr>
                <w:color w:val="000000"/>
                <w:sz w:val="22"/>
                <w:szCs w:val="22"/>
              </w:rPr>
              <w:t>0.7622377</w:t>
            </w:r>
          </w:p>
        </w:tc>
      </w:tr>
    </w:tbl>
    <w:p w:rsidR="003F22BB" w:rsidRPr="001B6CF1" w:rsidRDefault="003F22BB" w:rsidP="006D026C">
      <w:pPr>
        <w:autoSpaceDE w:val="0"/>
        <w:autoSpaceDN w:val="0"/>
        <w:adjustRightInd w:val="0"/>
        <w:ind w:left="360"/>
        <w:rPr>
          <w:color w:val="000000"/>
          <w:sz w:val="22"/>
          <w:szCs w:val="22"/>
        </w:rPr>
      </w:pPr>
    </w:p>
    <w:p w:rsidR="007B64AC" w:rsidRPr="001B6CF1" w:rsidRDefault="007B64AC" w:rsidP="006D026C">
      <w:pPr>
        <w:ind w:left="360"/>
        <w:rPr>
          <w:sz w:val="22"/>
          <w:szCs w:val="22"/>
        </w:rPr>
      </w:pPr>
    </w:p>
    <w:p w:rsidR="007E4B06" w:rsidRPr="001B6CF1" w:rsidRDefault="007E4B06" w:rsidP="006D026C">
      <w:pPr>
        <w:ind w:left="360"/>
        <w:jc w:val="center"/>
        <w:rPr>
          <w:sz w:val="22"/>
          <w:szCs w:val="22"/>
        </w:rPr>
      </w:pPr>
      <w:r w:rsidRPr="001B6CF1">
        <w:rPr>
          <w:noProof/>
          <w:sz w:val="22"/>
          <w:szCs w:val="22"/>
        </w:rPr>
        <w:drawing>
          <wp:inline distT="0" distB="0" distL="0" distR="0">
            <wp:extent cx="4249602" cy="250305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1.jpeg"/>
                    <pic:cNvPicPr/>
                  </pic:nvPicPr>
                  <pic:blipFill>
                    <a:blip r:embed="rId8">
                      <a:extLst>
                        <a:ext uri="{28A0092B-C50C-407E-A947-70E740481C1C}">
                          <a14:useLocalDpi xmlns:a14="http://schemas.microsoft.com/office/drawing/2010/main" val="0"/>
                        </a:ext>
                      </a:extLst>
                    </a:blip>
                    <a:stretch>
                      <a:fillRect/>
                    </a:stretch>
                  </pic:blipFill>
                  <pic:spPr>
                    <a:xfrm>
                      <a:off x="0" y="0"/>
                      <a:ext cx="4249602" cy="2503057"/>
                    </a:xfrm>
                    <a:prstGeom prst="rect">
                      <a:avLst/>
                    </a:prstGeom>
                  </pic:spPr>
                </pic:pic>
              </a:graphicData>
            </a:graphic>
          </wp:inline>
        </w:drawing>
      </w:r>
      <w:bookmarkStart w:id="0" w:name="_GoBack"/>
      <w:bookmarkEnd w:id="0"/>
    </w:p>
    <w:tbl>
      <w:tblPr>
        <w:tblStyle w:val="TableGrid"/>
        <w:tblW w:w="8528" w:type="dxa"/>
        <w:jc w:val="center"/>
        <w:tblLayout w:type="fixed"/>
        <w:tblLook w:val="0000" w:firstRow="0" w:lastRow="0" w:firstColumn="0" w:lastColumn="0" w:noHBand="0" w:noVBand="0"/>
      </w:tblPr>
      <w:tblGrid>
        <w:gridCol w:w="1359"/>
        <w:gridCol w:w="1853"/>
        <w:gridCol w:w="1780"/>
        <w:gridCol w:w="1805"/>
        <w:gridCol w:w="1731"/>
      </w:tblGrid>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p>
        </w:tc>
        <w:tc>
          <w:tcPr>
            <w:tcW w:w="1853"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Sepal.Length</w:t>
            </w:r>
          </w:p>
        </w:tc>
        <w:tc>
          <w:tcPr>
            <w:tcW w:w="1780"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Sepal.Width</w:t>
            </w:r>
          </w:p>
        </w:tc>
        <w:tc>
          <w:tcPr>
            <w:tcW w:w="1805"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Petal.Length</w:t>
            </w:r>
          </w:p>
        </w:tc>
        <w:tc>
          <w:tcPr>
            <w:tcW w:w="1731" w:type="dxa"/>
          </w:tcPr>
          <w:p w:rsidR="00251EB1" w:rsidRPr="00251EB1" w:rsidRDefault="00251EB1" w:rsidP="006D026C">
            <w:pPr>
              <w:autoSpaceDE w:val="0"/>
              <w:autoSpaceDN w:val="0"/>
              <w:adjustRightInd w:val="0"/>
              <w:ind w:left="360"/>
              <w:rPr>
                <w:color w:val="000000"/>
                <w:sz w:val="22"/>
                <w:szCs w:val="22"/>
              </w:rPr>
            </w:pPr>
            <w:proofErr w:type="spellStart"/>
            <w:r w:rsidRPr="00251EB1">
              <w:rPr>
                <w:color w:val="000000"/>
                <w:sz w:val="22"/>
                <w:szCs w:val="22"/>
              </w:rPr>
              <w:t>Petal.Width</w:t>
            </w:r>
            <w:proofErr w:type="spellEnd"/>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Min.</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4.3</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2</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1</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0.1</w:t>
            </w:r>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1st</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5.1</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2.8</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1.6</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0.3</w:t>
            </w:r>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Median</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5.8</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3</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4.35</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1.3</w:t>
            </w:r>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Mean</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5.843</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3.057</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3.758</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1.199</w:t>
            </w:r>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3rd</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6.4</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3.3</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5.1</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1.8</w:t>
            </w:r>
          </w:p>
        </w:tc>
      </w:tr>
      <w:tr w:rsidR="00AD3944" w:rsidRPr="001B6CF1" w:rsidTr="0071028D">
        <w:trPr>
          <w:jc w:val="center"/>
        </w:trPr>
        <w:tc>
          <w:tcPr>
            <w:tcW w:w="1359" w:type="dxa"/>
          </w:tcPr>
          <w:p w:rsidR="00251EB1" w:rsidRPr="00251EB1" w:rsidRDefault="00251EB1" w:rsidP="006D026C">
            <w:pPr>
              <w:autoSpaceDE w:val="0"/>
              <w:autoSpaceDN w:val="0"/>
              <w:adjustRightInd w:val="0"/>
              <w:ind w:left="360"/>
              <w:rPr>
                <w:color w:val="000000"/>
                <w:sz w:val="22"/>
                <w:szCs w:val="22"/>
              </w:rPr>
            </w:pPr>
            <w:r w:rsidRPr="00251EB1">
              <w:rPr>
                <w:color w:val="000000"/>
                <w:sz w:val="22"/>
                <w:szCs w:val="22"/>
              </w:rPr>
              <w:t>Max.</w:t>
            </w:r>
          </w:p>
        </w:tc>
        <w:tc>
          <w:tcPr>
            <w:tcW w:w="1853"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7.9</w:t>
            </w:r>
          </w:p>
        </w:tc>
        <w:tc>
          <w:tcPr>
            <w:tcW w:w="1780"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4.4</w:t>
            </w:r>
          </w:p>
        </w:tc>
        <w:tc>
          <w:tcPr>
            <w:tcW w:w="1805"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6.9</w:t>
            </w:r>
          </w:p>
        </w:tc>
        <w:tc>
          <w:tcPr>
            <w:tcW w:w="1731" w:type="dxa"/>
          </w:tcPr>
          <w:p w:rsidR="00251EB1" w:rsidRPr="00251EB1" w:rsidRDefault="00251EB1" w:rsidP="006D026C">
            <w:pPr>
              <w:autoSpaceDE w:val="0"/>
              <w:autoSpaceDN w:val="0"/>
              <w:adjustRightInd w:val="0"/>
              <w:ind w:left="360"/>
              <w:jc w:val="right"/>
              <w:rPr>
                <w:color w:val="000000"/>
                <w:sz w:val="22"/>
                <w:szCs w:val="22"/>
              </w:rPr>
            </w:pPr>
            <w:r w:rsidRPr="00251EB1">
              <w:rPr>
                <w:color w:val="000000"/>
                <w:sz w:val="22"/>
                <w:szCs w:val="22"/>
              </w:rPr>
              <w:t>2.5</w:t>
            </w:r>
          </w:p>
        </w:tc>
      </w:tr>
    </w:tbl>
    <w:p w:rsidR="00251EB1" w:rsidRPr="001B6CF1" w:rsidRDefault="00382FC1" w:rsidP="006D026C">
      <w:pPr>
        <w:ind w:left="360"/>
        <w:rPr>
          <w:sz w:val="22"/>
          <w:szCs w:val="22"/>
        </w:rPr>
      </w:pPr>
      <w:r w:rsidRPr="001B6CF1">
        <w:rPr>
          <w:sz w:val="22"/>
          <w:szCs w:val="22"/>
        </w:rPr>
        <w:tab/>
      </w:r>
    </w:p>
    <w:p w:rsidR="0071028D" w:rsidRPr="001B6CF1" w:rsidRDefault="005C5BFA" w:rsidP="006D026C">
      <w:pPr>
        <w:ind w:left="360"/>
        <w:rPr>
          <w:sz w:val="22"/>
          <w:szCs w:val="22"/>
        </w:rPr>
      </w:pPr>
      <w:r w:rsidRPr="001B6CF1">
        <w:rPr>
          <w:sz w:val="22"/>
          <w:szCs w:val="22"/>
        </w:rPr>
        <w:tab/>
      </w:r>
      <w:r w:rsidR="00262E06" w:rsidRPr="001B6CF1">
        <w:rPr>
          <w:sz w:val="22"/>
          <w:szCs w:val="22"/>
        </w:rPr>
        <w:t xml:space="preserve">If </w:t>
      </w:r>
      <w:r w:rsidR="00031383" w:rsidRPr="001B6CF1">
        <w:rPr>
          <w:sz w:val="22"/>
          <w:szCs w:val="22"/>
        </w:rPr>
        <w:t>we see the boxplot</w:t>
      </w:r>
      <w:r w:rsidR="00262E06" w:rsidRPr="001B6CF1">
        <w:rPr>
          <w:sz w:val="22"/>
          <w:szCs w:val="22"/>
        </w:rPr>
        <w:t>, the Petal.Length attribute is most variation</w:t>
      </w:r>
      <w:r w:rsidR="00031383" w:rsidRPr="001B6CF1">
        <w:rPr>
          <w:sz w:val="22"/>
          <w:szCs w:val="22"/>
        </w:rPr>
        <w:t>.</w:t>
      </w:r>
      <w:r w:rsidR="00262E06" w:rsidRPr="001B6CF1">
        <w:rPr>
          <w:sz w:val="22"/>
          <w:szCs w:val="22"/>
        </w:rPr>
        <w:t xml:space="preserve"> </w:t>
      </w:r>
      <w:r w:rsidR="00031383" w:rsidRPr="001B6CF1">
        <w:rPr>
          <w:sz w:val="22"/>
          <w:szCs w:val="22"/>
        </w:rPr>
        <w:t>I</w:t>
      </w:r>
      <w:r w:rsidR="00262E06" w:rsidRPr="001B6CF1">
        <w:rPr>
          <w:sz w:val="22"/>
          <w:szCs w:val="22"/>
        </w:rPr>
        <w:t xml:space="preserve">t is </w:t>
      </w:r>
      <w:r w:rsidR="00031383" w:rsidRPr="001B6CF1">
        <w:rPr>
          <w:sz w:val="22"/>
          <w:szCs w:val="22"/>
        </w:rPr>
        <w:t>value</w:t>
      </w:r>
      <w:r w:rsidR="00262E06" w:rsidRPr="001B6CF1">
        <w:rPr>
          <w:sz w:val="22"/>
          <w:szCs w:val="22"/>
        </w:rPr>
        <w:t xml:space="preserve"> </w:t>
      </w:r>
      <w:r w:rsidR="00031383" w:rsidRPr="001B6CF1">
        <w:rPr>
          <w:sz w:val="22"/>
          <w:szCs w:val="22"/>
        </w:rPr>
        <w:t>mentioning</w:t>
      </w:r>
      <w:r w:rsidR="00262E06" w:rsidRPr="001B6CF1">
        <w:rPr>
          <w:sz w:val="22"/>
          <w:szCs w:val="22"/>
        </w:rPr>
        <w:t xml:space="preserve"> that Sepal.Width contains three outliers, two on the high end of the values and a single outlier on the low end. This is because the majority of the data for Sepal.Width is concentrate</w:t>
      </w:r>
      <w:r w:rsidR="00031383" w:rsidRPr="001B6CF1">
        <w:rPr>
          <w:sz w:val="22"/>
          <w:szCs w:val="22"/>
        </w:rPr>
        <w:t>d around the center of the data.</w:t>
      </w:r>
    </w:p>
    <w:p w:rsidR="007B64AC" w:rsidRPr="001B6CF1" w:rsidRDefault="007B64AC" w:rsidP="006D026C">
      <w:pPr>
        <w:numPr>
          <w:ilvl w:val="0"/>
          <w:numId w:val="1"/>
        </w:numPr>
        <w:ind w:left="360"/>
        <w:rPr>
          <w:sz w:val="22"/>
          <w:szCs w:val="22"/>
        </w:rPr>
      </w:pPr>
      <w:r w:rsidRPr="001B6CF1">
        <w:rPr>
          <w:sz w:val="22"/>
          <w:szCs w:val="22"/>
        </w:rPr>
        <w:t>Compute histogram for each attribute. Based on histogram and boxplot of each attribute, which distributions look similar to a normal bell curve, which ones look different?</w:t>
      </w:r>
    </w:p>
    <w:p w:rsidR="00F36BDC" w:rsidRPr="001B6CF1" w:rsidRDefault="00F36BDC" w:rsidP="006D026C">
      <w:pPr>
        <w:ind w:left="-720"/>
        <w:rPr>
          <w:sz w:val="22"/>
          <w:szCs w:val="22"/>
        </w:rPr>
        <w:sectPr w:rsidR="00F36BDC" w:rsidRPr="001B6CF1" w:rsidSect="00FE493D">
          <w:headerReference w:type="default" r:id="rId9"/>
          <w:pgSz w:w="12240" w:h="15840"/>
          <w:pgMar w:top="1440" w:right="1440" w:bottom="1440" w:left="1440" w:header="720" w:footer="720" w:gutter="0"/>
          <w:cols w:space="720"/>
          <w:docGrid w:linePitch="360"/>
        </w:sectPr>
      </w:pPr>
    </w:p>
    <w:p w:rsidR="00AD3944" w:rsidRPr="001B6CF1" w:rsidRDefault="003526B2" w:rsidP="006D026C">
      <w:pPr>
        <w:ind w:left="-270" w:right="-180"/>
        <w:rPr>
          <w:sz w:val="22"/>
          <w:szCs w:val="22"/>
        </w:rPr>
      </w:pPr>
      <w:r w:rsidRPr="001B6CF1">
        <w:rPr>
          <w:noProof/>
          <w:sz w:val="22"/>
          <w:szCs w:val="22"/>
        </w:rPr>
        <w:drawing>
          <wp:inline distT="0" distB="0" distL="0" distR="0">
            <wp:extent cx="2693573" cy="24579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_Petal.Length.jpeg"/>
                    <pic:cNvPicPr/>
                  </pic:nvPicPr>
                  <pic:blipFill>
                    <a:blip r:embed="rId10">
                      <a:extLst>
                        <a:ext uri="{28A0092B-C50C-407E-A947-70E740481C1C}">
                          <a14:useLocalDpi xmlns:a14="http://schemas.microsoft.com/office/drawing/2010/main" val="0"/>
                        </a:ext>
                      </a:extLst>
                    </a:blip>
                    <a:stretch>
                      <a:fillRect/>
                    </a:stretch>
                  </pic:blipFill>
                  <pic:spPr>
                    <a:xfrm>
                      <a:off x="0" y="0"/>
                      <a:ext cx="2750599" cy="2509944"/>
                    </a:xfrm>
                    <a:prstGeom prst="rect">
                      <a:avLst/>
                    </a:prstGeom>
                  </pic:spPr>
                </pic:pic>
              </a:graphicData>
            </a:graphic>
          </wp:inline>
        </w:drawing>
      </w:r>
    </w:p>
    <w:p w:rsidR="00AD3944" w:rsidRPr="001B6CF1" w:rsidRDefault="00AD3944" w:rsidP="006D026C">
      <w:pPr>
        <w:ind w:left="360"/>
        <w:rPr>
          <w:sz w:val="22"/>
          <w:szCs w:val="22"/>
        </w:rPr>
      </w:pPr>
    </w:p>
    <w:p w:rsidR="00AD3944" w:rsidRPr="001B6CF1" w:rsidRDefault="003526B2" w:rsidP="006D026C">
      <w:pPr>
        <w:ind w:left="-720"/>
        <w:rPr>
          <w:sz w:val="22"/>
          <w:szCs w:val="22"/>
        </w:rPr>
      </w:pPr>
      <w:r w:rsidRPr="001B6CF1">
        <w:rPr>
          <w:noProof/>
          <w:sz w:val="22"/>
          <w:szCs w:val="22"/>
        </w:rPr>
        <w:drawing>
          <wp:inline distT="0" distB="0" distL="0" distR="0">
            <wp:extent cx="2750515" cy="241043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_Sepal.Width.jpeg"/>
                    <pic:cNvPicPr/>
                  </pic:nvPicPr>
                  <pic:blipFill>
                    <a:blip r:embed="rId11">
                      <a:extLst>
                        <a:ext uri="{28A0092B-C50C-407E-A947-70E740481C1C}">
                          <a14:useLocalDpi xmlns:a14="http://schemas.microsoft.com/office/drawing/2010/main" val="0"/>
                        </a:ext>
                      </a:extLst>
                    </a:blip>
                    <a:stretch>
                      <a:fillRect/>
                    </a:stretch>
                  </pic:blipFill>
                  <pic:spPr>
                    <a:xfrm>
                      <a:off x="0" y="0"/>
                      <a:ext cx="2839222" cy="2488170"/>
                    </a:xfrm>
                    <a:prstGeom prst="rect">
                      <a:avLst/>
                    </a:prstGeom>
                  </pic:spPr>
                </pic:pic>
              </a:graphicData>
            </a:graphic>
          </wp:inline>
        </w:drawing>
      </w:r>
    </w:p>
    <w:p w:rsidR="00F36BDC" w:rsidRPr="001B6CF1" w:rsidRDefault="00F36BDC" w:rsidP="006D026C">
      <w:pPr>
        <w:ind w:left="360"/>
        <w:rPr>
          <w:sz w:val="22"/>
          <w:szCs w:val="22"/>
        </w:rPr>
        <w:sectPr w:rsidR="00F36BDC" w:rsidRPr="001B6CF1" w:rsidSect="00F36BDC">
          <w:type w:val="continuous"/>
          <w:pgSz w:w="12240" w:h="15840"/>
          <w:pgMar w:top="1440" w:right="1440" w:bottom="1440" w:left="1440" w:header="720" w:footer="720" w:gutter="0"/>
          <w:cols w:num="2" w:space="1620"/>
          <w:docGrid w:linePitch="360"/>
        </w:sectPr>
      </w:pPr>
    </w:p>
    <w:p w:rsidR="003526B2" w:rsidRPr="001B6CF1" w:rsidRDefault="003526B2" w:rsidP="006D026C">
      <w:pPr>
        <w:ind w:left="-270" w:right="-180"/>
        <w:rPr>
          <w:noProof/>
          <w:sz w:val="22"/>
          <w:szCs w:val="22"/>
        </w:rPr>
      </w:pPr>
    </w:p>
    <w:p w:rsidR="003526B2" w:rsidRPr="001B6CF1" w:rsidRDefault="003526B2" w:rsidP="006D026C">
      <w:pPr>
        <w:ind w:left="-270" w:right="-180"/>
        <w:rPr>
          <w:noProof/>
          <w:sz w:val="22"/>
          <w:szCs w:val="22"/>
        </w:rPr>
      </w:pPr>
      <w:r w:rsidRPr="001B6CF1">
        <w:rPr>
          <w:noProof/>
          <w:sz w:val="22"/>
          <w:szCs w:val="22"/>
        </w:rPr>
        <w:drawing>
          <wp:inline distT="0" distB="0" distL="0" distR="0">
            <wp:extent cx="2984863" cy="2488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_Sepal.Length.jpeg"/>
                    <pic:cNvPicPr/>
                  </pic:nvPicPr>
                  <pic:blipFill>
                    <a:blip r:embed="rId12">
                      <a:extLst>
                        <a:ext uri="{28A0092B-C50C-407E-A947-70E740481C1C}">
                          <a14:useLocalDpi xmlns:a14="http://schemas.microsoft.com/office/drawing/2010/main" val="0"/>
                        </a:ext>
                      </a:extLst>
                    </a:blip>
                    <a:stretch>
                      <a:fillRect/>
                    </a:stretch>
                  </pic:blipFill>
                  <pic:spPr>
                    <a:xfrm>
                      <a:off x="0" y="0"/>
                      <a:ext cx="3020753" cy="2518488"/>
                    </a:xfrm>
                    <a:prstGeom prst="rect">
                      <a:avLst/>
                    </a:prstGeom>
                  </pic:spPr>
                </pic:pic>
              </a:graphicData>
            </a:graphic>
          </wp:inline>
        </w:drawing>
      </w:r>
    </w:p>
    <w:p w:rsidR="003526B2" w:rsidRPr="001B6CF1" w:rsidRDefault="00F36BDC" w:rsidP="006D026C">
      <w:pPr>
        <w:ind w:left="-270" w:right="-180"/>
        <w:rPr>
          <w:noProof/>
          <w:sz w:val="22"/>
          <w:szCs w:val="22"/>
        </w:rPr>
      </w:pPr>
      <w:r w:rsidRPr="001B6CF1">
        <w:rPr>
          <w:noProof/>
          <w:sz w:val="22"/>
          <w:szCs w:val="22"/>
        </w:rPr>
        <w:drawing>
          <wp:inline distT="0" distB="0" distL="0" distR="0" wp14:anchorId="6D20224D" wp14:editId="04D0E873">
            <wp:extent cx="3137338" cy="256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_Petal.width.jpeg"/>
                    <pic:cNvPicPr/>
                  </pic:nvPicPr>
                  <pic:blipFill>
                    <a:blip r:embed="rId13">
                      <a:extLst>
                        <a:ext uri="{28A0092B-C50C-407E-A947-70E740481C1C}">
                          <a14:useLocalDpi xmlns:a14="http://schemas.microsoft.com/office/drawing/2010/main" val="0"/>
                        </a:ext>
                      </a:extLst>
                    </a:blip>
                    <a:stretch>
                      <a:fillRect/>
                    </a:stretch>
                  </pic:blipFill>
                  <pic:spPr>
                    <a:xfrm>
                      <a:off x="0" y="0"/>
                      <a:ext cx="3166696" cy="2593954"/>
                    </a:xfrm>
                    <a:prstGeom prst="rect">
                      <a:avLst/>
                    </a:prstGeom>
                  </pic:spPr>
                </pic:pic>
              </a:graphicData>
            </a:graphic>
          </wp:inline>
        </w:drawing>
      </w:r>
    </w:p>
    <w:p w:rsidR="00F36BDC" w:rsidRPr="001B6CF1" w:rsidRDefault="00F36BDC" w:rsidP="006D026C">
      <w:pPr>
        <w:ind w:left="-270" w:right="-180"/>
        <w:rPr>
          <w:noProof/>
          <w:sz w:val="22"/>
          <w:szCs w:val="22"/>
        </w:rPr>
        <w:sectPr w:rsidR="00F36BDC" w:rsidRPr="001B6CF1" w:rsidSect="00F36BDC">
          <w:type w:val="continuous"/>
          <w:pgSz w:w="12240" w:h="15840"/>
          <w:pgMar w:top="1440" w:right="1440" w:bottom="1440" w:left="1440" w:header="720" w:footer="720" w:gutter="0"/>
          <w:cols w:num="2" w:space="720"/>
          <w:docGrid w:linePitch="360"/>
        </w:sectPr>
      </w:pPr>
    </w:p>
    <w:p w:rsidR="00AD3944" w:rsidRPr="001B6CF1" w:rsidRDefault="00AD3944" w:rsidP="006D026C">
      <w:pPr>
        <w:ind w:left="-270" w:right="-180"/>
        <w:rPr>
          <w:noProof/>
          <w:sz w:val="22"/>
          <w:szCs w:val="22"/>
        </w:rPr>
      </w:pPr>
    </w:p>
    <w:p w:rsidR="00AD3944" w:rsidRPr="001B6CF1" w:rsidRDefault="00AD3944" w:rsidP="006D026C">
      <w:pPr>
        <w:ind w:left="360"/>
        <w:rPr>
          <w:sz w:val="22"/>
          <w:szCs w:val="22"/>
        </w:rPr>
      </w:pPr>
    </w:p>
    <w:p w:rsidR="0071028D" w:rsidRPr="001B6CF1" w:rsidRDefault="005C5BFA" w:rsidP="006D026C">
      <w:pPr>
        <w:ind w:left="360"/>
        <w:rPr>
          <w:sz w:val="22"/>
          <w:szCs w:val="22"/>
        </w:rPr>
      </w:pPr>
      <w:r w:rsidRPr="001B6CF1">
        <w:rPr>
          <w:sz w:val="22"/>
          <w:szCs w:val="22"/>
        </w:rPr>
        <w:tab/>
      </w:r>
      <w:r w:rsidR="0071028D" w:rsidRPr="001B6CF1">
        <w:rPr>
          <w:sz w:val="22"/>
          <w:szCs w:val="22"/>
        </w:rPr>
        <w:t>H</w:t>
      </w:r>
      <w:r w:rsidRPr="001B6CF1">
        <w:rPr>
          <w:sz w:val="22"/>
          <w:szCs w:val="22"/>
        </w:rPr>
        <w:t xml:space="preserve">istogram data given above, Sepal.Length and Sepal.Width appear to be distributed normally. Sepal.Width is clearly normal, while the Sepal.Length is less clear. From the boxplot, it can also say that the average value for Sepal.Length and Sepal.Width are located in the center of the box, which means that the data between Q1 and Q3 is equally distributed between median. Petal.Length and </w:t>
      </w:r>
      <w:proofErr w:type="spellStart"/>
      <w:r w:rsidRPr="001B6CF1">
        <w:rPr>
          <w:sz w:val="22"/>
          <w:szCs w:val="22"/>
        </w:rPr>
        <w:t>Petal.Width</w:t>
      </w:r>
      <w:proofErr w:type="spellEnd"/>
      <w:r w:rsidRPr="001B6CF1">
        <w:rPr>
          <w:sz w:val="22"/>
          <w:szCs w:val="22"/>
        </w:rPr>
        <w:t xml:space="preserve"> have a large number of data points of the histogram, indicating that there are less significant values ​​in the data. The large volume of low-value data causes a low Q1 number, so the medians are far from Q2 and as shown in the boxplot for Q3.</w:t>
      </w:r>
    </w:p>
    <w:p w:rsidR="0071028D" w:rsidRPr="001B6CF1" w:rsidRDefault="0071028D" w:rsidP="006D026C">
      <w:pPr>
        <w:ind w:left="360"/>
        <w:rPr>
          <w:sz w:val="22"/>
          <w:szCs w:val="22"/>
        </w:rPr>
      </w:pPr>
    </w:p>
    <w:p w:rsidR="00F36BDC" w:rsidRPr="001B6CF1" w:rsidRDefault="007B64AC" w:rsidP="006D026C">
      <w:pPr>
        <w:pStyle w:val="ListParagraph"/>
        <w:numPr>
          <w:ilvl w:val="0"/>
          <w:numId w:val="1"/>
        </w:numPr>
        <w:ind w:left="360"/>
        <w:rPr>
          <w:sz w:val="22"/>
          <w:szCs w:val="22"/>
        </w:rPr>
      </w:pPr>
      <w:r w:rsidRPr="001B6CF1">
        <w:rPr>
          <w:sz w:val="22"/>
          <w:szCs w:val="22"/>
        </w:rPr>
        <w:t xml:space="preserve">Compute QQ plot between Sepal.Length and Sepal.Width and interpret the results with comparison to boxplots and histogram of these attributes. </w:t>
      </w:r>
    </w:p>
    <w:p w:rsidR="00F36BDC" w:rsidRPr="001B6CF1" w:rsidRDefault="00F36BDC" w:rsidP="006D026C">
      <w:pPr>
        <w:ind w:left="360"/>
        <w:rPr>
          <w:sz w:val="22"/>
          <w:szCs w:val="22"/>
        </w:rPr>
      </w:pPr>
      <w:r w:rsidRPr="001B6CF1">
        <w:rPr>
          <w:sz w:val="22"/>
          <w:szCs w:val="22"/>
        </w:rPr>
        <w:tab/>
      </w:r>
      <w:r w:rsidRPr="001B6CF1">
        <w:rPr>
          <w:sz w:val="22"/>
          <w:szCs w:val="22"/>
        </w:rPr>
        <w:drawing>
          <wp:inline distT="0" distB="0" distL="0" distR="0" wp14:anchorId="2409C36A" wp14:editId="62BFD5B3">
            <wp:extent cx="3526972" cy="24225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9428" cy="2465423"/>
                    </a:xfrm>
                    <a:prstGeom prst="rect">
                      <a:avLst/>
                    </a:prstGeom>
                  </pic:spPr>
                </pic:pic>
              </a:graphicData>
            </a:graphic>
          </wp:inline>
        </w:drawing>
      </w:r>
    </w:p>
    <w:p w:rsidR="006D026C" w:rsidRPr="001B6CF1" w:rsidRDefault="006D026C" w:rsidP="006D026C">
      <w:pPr>
        <w:rPr>
          <w:sz w:val="22"/>
          <w:szCs w:val="22"/>
        </w:rPr>
      </w:pPr>
      <w:r w:rsidRPr="001B6CF1">
        <w:rPr>
          <w:color w:val="000000"/>
          <w:sz w:val="22"/>
          <w:szCs w:val="22"/>
          <w:shd w:val="clear" w:color="auto" w:fill="FFFFFF"/>
        </w:rPr>
        <w:tab/>
        <w:t xml:space="preserve">In QQ plot, we can see the all data points forming in a line that’s roughly straight, so the data </w:t>
      </w:r>
      <w:r w:rsidRPr="001B6CF1">
        <w:rPr>
          <w:sz w:val="22"/>
          <w:szCs w:val="22"/>
        </w:rPr>
        <w:t xml:space="preserve">distributions </w:t>
      </w:r>
      <w:r w:rsidRPr="001B6CF1">
        <w:rPr>
          <w:color w:val="000000"/>
          <w:sz w:val="22"/>
          <w:szCs w:val="22"/>
          <w:shd w:val="clear" w:color="auto" w:fill="FFFFFF"/>
        </w:rPr>
        <w:t xml:space="preserve">Sepal.Length and Sepal.Width are same. In a boxplot, </w:t>
      </w:r>
      <w:r w:rsidR="00821A97" w:rsidRPr="001B6CF1">
        <w:rPr>
          <w:color w:val="000000"/>
          <w:sz w:val="22"/>
          <w:szCs w:val="22"/>
          <w:shd w:val="clear" w:color="auto" w:fill="FFFFFF"/>
        </w:rPr>
        <w:t>these</w:t>
      </w:r>
      <w:r w:rsidRPr="001B6CF1">
        <w:rPr>
          <w:color w:val="000000"/>
          <w:sz w:val="22"/>
          <w:szCs w:val="22"/>
          <w:shd w:val="clear" w:color="auto" w:fill="FFFFFF"/>
        </w:rPr>
        <w:t xml:space="preserve"> two attributes are the median value that located around the center of the box, which indicated Q1 and Q2.</w:t>
      </w:r>
      <w:r w:rsidR="00821A97" w:rsidRPr="001B6CF1">
        <w:rPr>
          <w:color w:val="000000"/>
          <w:sz w:val="22"/>
          <w:szCs w:val="22"/>
          <w:shd w:val="clear" w:color="auto" w:fill="FFFFFF"/>
        </w:rPr>
        <w:t xml:space="preserve"> The histogram of these two attributes can be used to determine that the data is normally distributed. The QQ plot can only say that the distribution of these two attributes are the same, and they are usually distributed or not.</w:t>
      </w:r>
    </w:p>
    <w:p w:rsidR="006D026C" w:rsidRPr="001B6CF1" w:rsidRDefault="006D026C" w:rsidP="006D026C">
      <w:pPr>
        <w:ind w:left="360"/>
        <w:rPr>
          <w:sz w:val="22"/>
          <w:szCs w:val="22"/>
        </w:rPr>
      </w:pPr>
    </w:p>
    <w:p w:rsidR="00F36BDC" w:rsidRPr="001B6CF1" w:rsidRDefault="00F36BDC" w:rsidP="006D026C">
      <w:pPr>
        <w:ind w:left="360"/>
        <w:rPr>
          <w:sz w:val="22"/>
          <w:szCs w:val="22"/>
        </w:rPr>
      </w:pPr>
      <w:r w:rsidRPr="001B6CF1">
        <w:rPr>
          <w:sz w:val="22"/>
          <w:szCs w:val="22"/>
        </w:rPr>
        <w:tab/>
      </w:r>
    </w:p>
    <w:p w:rsidR="002E2224" w:rsidRPr="001B6CF1" w:rsidRDefault="007B64AC" w:rsidP="002E2224">
      <w:pPr>
        <w:numPr>
          <w:ilvl w:val="0"/>
          <w:numId w:val="1"/>
        </w:numPr>
        <w:ind w:left="360"/>
        <w:rPr>
          <w:sz w:val="22"/>
          <w:szCs w:val="22"/>
        </w:rPr>
      </w:pPr>
      <w:r w:rsidRPr="001B6CF1">
        <w:rPr>
          <w:sz w:val="22"/>
          <w:szCs w:val="22"/>
        </w:rPr>
        <w:lastRenderedPageBreak/>
        <w:t>Compute scatterplots between Sepal.Length and Sepal.Width, and Sepal.Length and Petal.Length. Interpret the results. Is there any correlation? Is it positive or negative?</w:t>
      </w:r>
    </w:p>
    <w:p w:rsidR="009E25C5" w:rsidRPr="001B6CF1" w:rsidRDefault="002E2224" w:rsidP="002E2224">
      <w:pPr>
        <w:rPr>
          <w:noProof/>
          <w:sz w:val="22"/>
          <w:szCs w:val="22"/>
        </w:rPr>
      </w:pPr>
      <w:r w:rsidRPr="001B6CF1">
        <w:rPr>
          <w:sz w:val="22"/>
          <w:szCs w:val="22"/>
        </w:rPr>
        <w:drawing>
          <wp:inline distT="0" distB="0" distL="0" distR="0" wp14:anchorId="7A4C0286" wp14:editId="5775AB45">
            <wp:extent cx="2908119" cy="2743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722" cy="2758861"/>
                    </a:xfrm>
                    <a:prstGeom prst="rect">
                      <a:avLst/>
                    </a:prstGeom>
                  </pic:spPr>
                </pic:pic>
              </a:graphicData>
            </a:graphic>
          </wp:inline>
        </w:drawing>
      </w:r>
      <w:r w:rsidRPr="001B6CF1">
        <w:rPr>
          <w:noProof/>
          <w:sz w:val="22"/>
          <w:szCs w:val="22"/>
        </w:rPr>
        <w:t xml:space="preserve"> </w:t>
      </w:r>
      <w:r w:rsidR="00894CF9" w:rsidRPr="001B6CF1">
        <w:rPr>
          <w:noProof/>
          <w:sz w:val="22"/>
          <w:szCs w:val="22"/>
        </w:rPr>
        <w:drawing>
          <wp:inline distT="0" distB="0" distL="0" distR="0">
            <wp:extent cx="2956905" cy="2723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atterPlot2.jpeg"/>
                    <pic:cNvPicPr/>
                  </pic:nvPicPr>
                  <pic:blipFill>
                    <a:blip r:embed="rId16">
                      <a:extLst>
                        <a:ext uri="{28A0092B-C50C-407E-A947-70E740481C1C}">
                          <a14:useLocalDpi xmlns:a14="http://schemas.microsoft.com/office/drawing/2010/main" val="0"/>
                        </a:ext>
                      </a:extLst>
                    </a:blip>
                    <a:stretch>
                      <a:fillRect/>
                    </a:stretch>
                  </pic:blipFill>
                  <pic:spPr>
                    <a:xfrm>
                      <a:off x="0" y="0"/>
                      <a:ext cx="3005241" cy="2768269"/>
                    </a:xfrm>
                    <a:prstGeom prst="rect">
                      <a:avLst/>
                    </a:prstGeom>
                  </pic:spPr>
                </pic:pic>
              </a:graphicData>
            </a:graphic>
          </wp:inline>
        </w:drawing>
      </w:r>
    </w:p>
    <w:p w:rsidR="002E2224" w:rsidRPr="001B6CF1" w:rsidRDefault="002E2224" w:rsidP="002E2224">
      <w:pPr>
        <w:rPr>
          <w:noProof/>
          <w:sz w:val="22"/>
          <w:szCs w:val="22"/>
        </w:rPr>
      </w:pPr>
    </w:p>
    <w:p w:rsidR="002E2224" w:rsidRPr="001B6CF1" w:rsidRDefault="002E2224" w:rsidP="002E2224">
      <w:pPr>
        <w:rPr>
          <w:sz w:val="22"/>
          <w:szCs w:val="22"/>
        </w:rPr>
      </w:pPr>
      <w:r w:rsidRPr="001B6CF1">
        <w:rPr>
          <w:sz w:val="22"/>
          <w:szCs w:val="22"/>
        </w:rPr>
        <w:tab/>
        <w:t>Sepal.Length and Sepal.Width does not seem to be associated significant</w:t>
      </w:r>
      <w:r w:rsidR="00894CF9" w:rsidRPr="001B6CF1">
        <w:rPr>
          <w:sz w:val="22"/>
          <w:szCs w:val="22"/>
        </w:rPr>
        <w:t>ly. Petal.Length and Sepal.Leng</w:t>
      </w:r>
      <w:r w:rsidRPr="001B6CF1">
        <w:rPr>
          <w:sz w:val="22"/>
          <w:szCs w:val="22"/>
        </w:rPr>
        <w:t>t</w:t>
      </w:r>
      <w:r w:rsidR="00894CF9" w:rsidRPr="001B6CF1">
        <w:rPr>
          <w:sz w:val="22"/>
          <w:szCs w:val="22"/>
        </w:rPr>
        <w:t>h</w:t>
      </w:r>
      <w:r w:rsidRPr="001B6CF1">
        <w:rPr>
          <w:sz w:val="22"/>
          <w:szCs w:val="22"/>
        </w:rPr>
        <w:t xml:space="preserve"> </w:t>
      </w:r>
      <w:r w:rsidR="00894CF9" w:rsidRPr="001B6CF1">
        <w:rPr>
          <w:sz w:val="22"/>
          <w:szCs w:val="22"/>
        </w:rPr>
        <w:t>does seem to be associated significantly</w:t>
      </w:r>
      <w:r w:rsidRPr="001B6CF1">
        <w:rPr>
          <w:sz w:val="22"/>
          <w:szCs w:val="22"/>
        </w:rPr>
        <w:t>, because</w:t>
      </w:r>
      <w:r w:rsidR="00894CF9" w:rsidRPr="001B6CF1">
        <w:rPr>
          <w:sz w:val="22"/>
          <w:szCs w:val="22"/>
        </w:rPr>
        <w:t xml:space="preserve"> the indication found by the </w:t>
      </w:r>
      <w:r w:rsidRPr="001B6CF1">
        <w:rPr>
          <w:sz w:val="22"/>
          <w:szCs w:val="22"/>
        </w:rPr>
        <w:t xml:space="preserve">line added to the graph. </w:t>
      </w:r>
      <w:r w:rsidR="00894CF9" w:rsidRPr="001B6CF1">
        <w:rPr>
          <w:sz w:val="22"/>
          <w:szCs w:val="22"/>
        </w:rPr>
        <w:t>The t</w:t>
      </w:r>
      <w:r w:rsidRPr="001B6CF1">
        <w:rPr>
          <w:sz w:val="22"/>
          <w:szCs w:val="22"/>
        </w:rPr>
        <w:t xml:space="preserve">wo clustering of </w:t>
      </w:r>
      <w:r w:rsidR="00894CF9" w:rsidRPr="001B6CF1">
        <w:rPr>
          <w:sz w:val="22"/>
          <w:szCs w:val="22"/>
        </w:rPr>
        <w:t>data points is visible in Sepal.Length and Petal.Length.</w:t>
      </w:r>
      <w:r w:rsidRPr="001B6CF1">
        <w:rPr>
          <w:sz w:val="22"/>
          <w:szCs w:val="22"/>
        </w:rPr>
        <w:t xml:space="preserve"> </w:t>
      </w:r>
    </w:p>
    <w:p w:rsidR="001B6CF1" w:rsidRPr="001B6CF1" w:rsidRDefault="001B6CF1" w:rsidP="002E2224">
      <w:pPr>
        <w:rPr>
          <w:sz w:val="22"/>
          <w:szCs w:val="22"/>
        </w:rPr>
      </w:pPr>
    </w:p>
    <w:p w:rsidR="001B6CF1" w:rsidRPr="001B6CF1" w:rsidRDefault="001B6CF1" w:rsidP="001B6CF1">
      <w:pPr>
        <w:jc w:val="center"/>
        <w:rPr>
          <w:b/>
          <w:bCs/>
          <w:sz w:val="22"/>
          <w:szCs w:val="22"/>
          <w:u w:val="single"/>
        </w:rPr>
      </w:pPr>
      <w:r w:rsidRPr="001B6CF1">
        <w:rPr>
          <w:b/>
          <w:bCs/>
          <w:sz w:val="22"/>
          <w:szCs w:val="22"/>
          <w:u w:val="single"/>
        </w:rPr>
        <w:t>References:</w:t>
      </w:r>
    </w:p>
    <w:p w:rsidR="001B6CF1" w:rsidRPr="001B6CF1" w:rsidRDefault="001B6CF1" w:rsidP="001B6CF1">
      <w:pPr>
        <w:jc w:val="center"/>
        <w:rPr>
          <w:b/>
          <w:bCs/>
          <w:sz w:val="22"/>
          <w:szCs w:val="22"/>
          <w:u w:val="single"/>
        </w:rPr>
      </w:pPr>
    </w:p>
    <w:p w:rsidR="00CD6D85" w:rsidRDefault="00CD6D85" w:rsidP="00CD6D85">
      <w:pPr>
        <w:pStyle w:val="ListParagraph"/>
        <w:numPr>
          <w:ilvl w:val="0"/>
          <w:numId w:val="2"/>
        </w:numPr>
        <w:ind w:left="360"/>
        <w:rPr>
          <w:sz w:val="22"/>
          <w:szCs w:val="22"/>
        </w:rPr>
      </w:pPr>
      <w:r>
        <w:rPr>
          <w:sz w:val="22"/>
          <w:szCs w:val="22"/>
        </w:rPr>
        <w:fldChar w:fldCharType="begin"/>
      </w:r>
      <w:r>
        <w:rPr>
          <w:sz w:val="22"/>
          <w:szCs w:val="22"/>
        </w:rPr>
        <w:instrText xml:space="preserve"> HYPERLINK "</w:instrText>
      </w:r>
      <w:r w:rsidRPr="00CD6D85">
        <w:rPr>
          <w:sz w:val="22"/>
          <w:szCs w:val="22"/>
        </w:rPr>
        <w:instrText>http://r4ds.had.co.nz</w:instrText>
      </w:r>
      <w:r>
        <w:rPr>
          <w:sz w:val="22"/>
          <w:szCs w:val="22"/>
        </w:rPr>
        <w:instrText xml:space="preserve">" </w:instrText>
      </w:r>
      <w:r>
        <w:rPr>
          <w:sz w:val="22"/>
          <w:szCs w:val="22"/>
        </w:rPr>
        <w:fldChar w:fldCharType="separate"/>
      </w:r>
      <w:r w:rsidRPr="007C4D92">
        <w:rPr>
          <w:rStyle w:val="Hyperlink"/>
          <w:sz w:val="22"/>
          <w:szCs w:val="22"/>
        </w:rPr>
        <w:t>http://r4ds.had.co.nz</w:t>
      </w:r>
      <w:r>
        <w:rPr>
          <w:sz w:val="22"/>
          <w:szCs w:val="22"/>
        </w:rPr>
        <w:fldChar w:fldCharType="end"/>
      </w:r>
      <w:r>
        <w:rPr>
          <w:sz w:val="22"/>
          <w:szCs w:val="22"/>
        </w:rPr>
        <w:t xml:space="preserve"> </w:t>
      </w:r>
    </w:p>
    <w:p w:rsidR="001B6CF1" w:rsidRPr="001B6CF1" w:rsidRDefault="001B6CF1" w:rsidP="001B6CF1">
      <w:pPr>
        <w:pStyle w:val="ListParagraph"/>
        <w:numPr>
          <w:ilvl w:val="0"/>
          <w:numId w:val="2"/>
        </w:numPr>
        <w:ind w:left="360"/>
        <w:rPr>
          <w:sz w:val="22"/>
          <w:szCs w:val="22"/>
        </w:rPr>
      </w:pPr>
      <w:r w:rsidRPr="001B6CF1">
        <w:rPr>
          <w:sz w:val="22"/>
          <w:szCs w:val="22"/>
        </w:rPr>
        <w:t>Scatter Plot. (</w:t>
      </w:r>
      <w:proofErr w:type="spellStart"/>
      <w:r w:rsidRPr="001B6CF1">
        <w:rPr>
          <w:sz w:val="22"/>
          <w:szCs w:val="22"/>
        </w:rPr>
        <w:t>n.d.</w:t>
      </w:r>
      <w:proofErr w:type="spellEnd"/>
      <w:r w:rsidRPr="001B6CF1">
        <w:rPr>
          <w:sz w:val="22"/>
          <w:szCs w:val="22"/>
        </w:rPr>
        <w:t xml:space="preserve">). Retrieved January 31, 2018, from </w:t>
      </w:r>
      <w:hyperlink r:id="rId17" w:history="1">
        <w:r w:rsidR="00CD6D85" w:rsidRPr="007C4D92">
          <w:rPr>
            <w:rStyle w:val="Hyperlink"/>
            <w:sz w:val="22"/>
            <w:szCs w:val="22"/>
          </w:rPr>
          <w:t>http://www.r-tutor.com/elementary-statistics/quantitative-data/scatter-plot</w:t>
        </w:r>
      </w:hyperlink>
      <w:r w:rsidR="00CD6D85">
        <w:rPr>
          <w:sz w:val="22"/>
          <w:szCs w:val="22"/>
        </w:rPr>
        <w:t xml:space="preserve"> </w:t>
      </w:r>
    </w:p>
    <w:p w:rsidR="001B6CF1" w:rsidRDefault="001B6CF1" w:rsidP="001B6CF1">
      <w:pPr>
        <w:pStyle w:val="ListParagraph"/>
        <w:numPr>
          <w:ilvl w:val="0"/>
          <w:numId w:val="2"/>
        </w:numPr>
        <w:ind w:left="360"/>
      </w:pPr>
      <w:r w:rsidRPr="001B6CF1">
        <w:rPr>
          <w:color w:val="333333"/>
          <w:shd w:val="clear" w:color="auto" w:fill="FFFFFF"/>
        </w:rPr>
        <w:t xml:space="preserve">Vidani, P. (2015, June 13). Data * Science R. Retrieved January 31, 2018, from </w:t>
      </w:r>
      <w:hyperlink r:id="rId18" w:history="1">
        <w:r w:rsidR="00CD6D85" w:rsidRPr="007C4D92">
          <w:rPr>
            <w:rStyle w:val="Hyperlink"/>
            <w:shd w:val="clear" w:color="auto" w:fill="FFFFFF"/>
          </w:rPr>
          <w:t>http://things-about-r.tumblr.com/</w:t>
        </w:r>
      </w:hyperlink>
      <w:r w:rsidR="00CD6D85">
        <w:rPr>
          <w:color w:val="333333"/>
          <w:shd w:val="clear" w:color="auto" w:fill="FFFFFF"/>
        </w:rPr>
        <w:t xml:space="preserve"> </w:t>
      </w:r>
    </w:p>
    <w:p w:rsidR="001B6CF1" w:rsidRDefault="001B6CF1" w:rsidP="001B6CF1">
      <w:pPr>
        <w:pStyle w:val="ListParagraph"/>
        <w:numPr>
          <w:ilvl w:val="0"/>
          <w:numId w:val="2"/>
        </w:numPr>
        <w:ind w:left="360"/>
      </w:pPr>
      <w:r w:rsidRPr="001B6CF1">
        <w:rPr>
          <w:color w:val="333333"/>
          <w:shd w:val="clear" w:color="auto" w:fill="FFFFFF"/>
        </w:rPr>
        <w:t xml:space="preserve">Molecular </w:t>
      </w:r>
      <w:proofErr w:type="spellStart"/>
      <w:r w:rsidRPr="001B6CF1">
        <w:rPr>
          <w:color w:val="333333"/>
          <w:shd w:val="clear" w:color="auto" w:fill="FFFFFF"/>
        </w:rPr>
        <w:t>Organisation</w:t>
      </w:r>
      <w:proofErr w:type="spellEnd"/>
      <w:r w:rsidRPr="001B6CF1">
        <w:rPr>
          <w:color w:val="333333"/>
          <w:shd w:val="clear" w:color="auto" w:fill="FFFFFF"/>
        </w:rPr>
        <w:t xml:space="preserve"> and Assembly in Cells. (</w:t>
      </w:r>
      <w:proofErr w:type="spellStart"/>
      <w:r w:rsidRPr="001B6CF1">
        <w:rPr>
          <w:color w:val="333333"/>
          <w:shd w:val="clear" w:color="auto" w:fill="FFFFFF"/>
        </w:rPr>
        <w:t>n.d.</w:t>
      </w:r>
      <w:proofErr w:type="spellEnd"/>
      <w:r w:rsidRPr="001B6CF1">
        <w:rPr>
          <w:color w:val="333333"/>
          <w:shd w:val="clear" w:color="auto" w:fill="FFFFFF"/>
        </w:rPr>
        <w:t xml:space="preserve">). Retrieved January 31, 2018, from </w:t>
      </w:r>
      <w:hyperlink r:id="rId19" w:history="1">
        <w:r w:rsidR="00CD6D85" w:rsidRPr="007C4D92">
          <w:rPr>
            <w:rStyle w:val="Hyperlink"/>
            <w:shd w:val="clear" w:color="auto" w:fill="FFFFFF"/>
          </w:rPr>
          <w:t>https://warwick.ac.uk/fac/sci/moac/people/students/peter_cock/r/iris_plots/</w:t>
        </w:r>
      </w:hyperlink>
      <w:r w:rsidR="00CD6D85">
        <w:rPr>
          <w:color w:val="333333"/>
          <w:shd w:val="clear" w:color="auto" w:fill="FFFFFF"/>
        </w:rPr>
        <w:t xml:space="preserve"> </w:t>
      </w:r>
    </w:p>
    <w:p w:rsidR="001B6CF1" w:rsidRDefault="001B6CF1" w:rsidP="00CD6D85">
      <w:pPr>
        <w:pStyle w:val="ListParagraph"/>
        <w:numPr>
          <w:ilvl w:val="0"/>
          <w:numId w:val="2"/>
        </w:numPr>
        <w:ind w:left="360"/>
      </w:pPr>
      <w:r w:rsidRPr="001B6CF1">
        <w:rPr>
          <w:color w:val="333333"/>
          <w:shd w:val="clear" w:color="auto" w:fill="FFFFFF"/>
        </w:rPr>
        <w:t xml:space="preserve">Ford, C. (2015, August 26). University of Virginia Library Sites. Retrieved January 31, 2018, from </w:t>
      </w:r>
      <w:hyperlink r:id="rId20" w:history="1">
        <w:r w:rsidR="00CD6D85" w:rsidRPr="007C4D92">
          <w:rPr>
            <w:rStyle w:val="Hyperlink"/>
            <w:shd w:val="clear" w:color="auto" w:fill="FFFFFF"/>
          </w:rPr>
          <w:t>http://data.library.virginia.edu/understanding-q-q-plots/</w:t>
        </w:r>
      </w:hyperlink>
      <w:r w:rsidR="00CD6D85">
        <w:rPr>
          <w:color w:val="333333"/>
          <w:shd w:val="clear" w:color="auto" w:fill="FFFFFF"/>
        </w:rPr>
        <w:t xml:space="preserve"> </w:t>
      </w:r>
    </w:p>
    <w:p w:rsidR="001B6CF1" w:rsidRDefault="001B6CF1" w:rsidP="00CD6D85">
      <w:pPr>
        <w:pStyle w:val="ListParagraph"/>
        <w:numPr>
          <w:ilvl w:val="0"/>
          <w:numId w:val="2"/>
        </w:numPr>
        <w:ind w:left="360"/>
      </w:pPr>
      <w:r w:rsidRPr="001B6CF1">
        <w:rPr>
          <w:color w:val="333333"/>
          <w:shd w:val="clear" w:color="auto" w:fill="FFFFFF"/>
        </w:rPr>
        <w:t>Standard Deviation. (</w:t>
      </w:r>
      <w:proofErr w:type="spellStart"/>
      <w:r w:rsidRPr="001B6CF1">
        <w:rPr>
          <w:color w:val="333333"/>
          <w:shd w:val="clear" w:color="auto" w:fill="FFFFFF"/>
        </w:rPr>
        <w:t>n.d.</w:t>
      </w:r>
      <w:proofErr w:type="spellEnd"/>
      <w:r w:rsidRPr="001B6CF1">
        <w:rPr>
          <w:color w:val="333333"/>
          <w:shd w:val="clear" w:color="auto" w:fill="FFFFFF"/>
        </w:rPr>
        <w:t xml:space="preserve">). Retrieved January 31, 2018, from </w:t>
      </w:r>
      <w:hyperlink r:id="rId21" w:history="1">
        <w:r w:rsidR="00CD6D85" w:rsidRPr="007C4D92">
          <w:rPr>
            <w:rStyle w:val="Hyperlink"/>
            <w:shd w:val="clear" w:color="auto" w:fill="FFFFFF"/>
          </w:rPr>
          <w:t>http://www.r-tutor.com/elementary-statistics/numerical-measures/standard-deviation</w:t>
        </w:r>
      </w:hyperlink>
      <w:r w:rsidR="00CD6D85">
        <w:rPr>
          <w:color w:val="333333"/>
          <w:shd w:val="clear" w:color="auto" w:fill="FFFFFF"/>
        </w:rPr>
        <w:t xml:space="preserve"> </w:t>
      </w:r>
    </w:p>
    <w:p w:rsidR="001B6CF1" w:rsidRDefault="001B6CF1" w:rsidP="00CD6D85">
      <w:pPr>
        <w:pStyle w:val="ListParagraph"/>
        <w:numPr>
          <w:ilvl w:val="0"/>
          <w:numId w:val="2"/>
        </w:numPr>
        <w:ind w:left="360"/>
      </w:pPr>
      <w:r>
        <w:rPr>
          <w:color w:val="333333"/>
          <w:shd w:val="clear" w:color="auto" w:fill="FFFFFF"/>
        </w:rPr>
        <w:t>Visual summaries</w:t>
      </w:r>
      <w:r w:rsidRPr="001B6CF1">
        <w:rPr>
          <w:color w:val="333333"/>
          <w:shd w:val="clear" w:color="auto" w:fill="FFFFFF"/>
        </w:rPr>
        <w:t>. (</w:t>
      </w:r>
      <w:proofErr w:type="spellStart"/>
      <w:r w:rsidRPr="001B6CF1">
        <w:rPr>
          <w:color w:val="333333"/>
          <w:shd w:val="clear" w:color="auto" w:fill="FFFFFF"/>
        </w:rPr>
        <w:t>n.d.</w:t>
      </w:r>
      <w:proofErr w:type="spellEnd"/>
      <w:r w:rsidRPr="001B6CF1">
        <w:rPr>
          <w:color w:val="333333"/>
          <w:shd w:val="clear" w:color="auto" w:fill="FFFFFF"/>
        </w:rPr>
        <w:t xml:space="preserve">). Retrieved January 31, 2018, from </w:t>
      </w:r>
      <w:hyperlink r:id="rId22" w:history="1">
        <w:r w:rsidR="00CD6D85" w:rsidRPr="007C4D92">
          <w:rPr>
            <w:rStyle w:val="Hyperlink"/>
            <w:shd w:val="clear" w:color="auto" w:fill="FFFFFF"/>
          </w:rPr>
          <w:t>http://statweb.stanford.edu/~jtaylo/courses/stats202/visualization.html</w:t>
        </w:r>
      </w:hyperlink>
      <w:r w:rsidR="00CD6D85">
        <w:rPr>
          <w:color w:val="333333"/>
          <w:shd w:val="clear" w:color="auto" w:fill="FFFFFF"/>
        </w:rPr>
        <w:t xml:space="preserve"> </w:t>
      </w:r>
    </w:p>
    <w:p w:rsidR="001B6CF1" w:rsidRPr="001B6CF1" w:rsidRDefault="001B6CF1" w:rsidP="00CD6D85">
      <w:pPr>
        <w:pStyle w:val="ListParagraph"/>
        <w:ind w:left="360"/>
        <w:rPr>
          <w:sz w:val="22"/>
          <w:szCs w:val="22"/>
        </w:rPr>
      </w:pPr>
    </w:p>
    <w:sectPr w:rsidR="001B6CF1" w:rsidRPr="001B6CF1" w:rsidSect="00F36BD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B30" w:rsidRDefault="00CE6B30" w:rsidP="00CD6D85">
      <w:r>
        <w:separator/>
      </w:r>
    </w:p>
  </w:endnote>
  <w:endnote w:type="continuationSeparator" w:id="0">
    <w:p w:rsidR="00CE6B30" w:rsidRDefault="00CE6B30" w:rsidP="00CD6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hruti">
    <w:altName w:val="Cambria"/>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B30" w:rsidRDefault="00CE6B30" w:rsidP="00CD6D85">
      <w:r>
        <w:separator/>
      </w:r>
    </w:p>
  </w:footnote>
  <w:footnote w:type="continuationSeparator" w:id="0">
    <w:p w:rsidR="00CE6B30" w:rsidRDefault="00CE6B30" w:rsidP="00CD6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D85" w:rsidRDefault="00CD6D85">
    <w:pPr>
      <w:pStyle w:val="Header"/>
    </w:pPr>
    <w:r>
      <w:t>Vidit Kalani</w:t>
    </w:r>
    <w:r>
      <w:tab/>
    </w:r>
    <w:r>
      <w:tab/>
      <w:t>MSCS 5610 Data Mining</w:t>
    </w:r>
  </w:p>
  <w:p w:rsidR="00CD6D85" w:rsidRDefault="00CD6D85">
    <w:pPr>
      <w:pStyle w:val="Header"/>
    </w:pPr>
    <w:r>
      <w:t>Assignment 1</w:t>
    </w:r>
    <w:r>
      <w:tab/>
    </w:r>
    <w:r>
      <w:tab/>
      <w:t>January 31,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03502"/>
    <w:multiLevelType w:val="hybridMultilevel"/>
    <w:tmpl w:val="3EE4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A293E"/>
    <w:multiLevelType w:val="hybridMultilevel"/>
    <w:tmpl w:val="D9C4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AC"/>
    <w:rsid w:val="00031383"/>
    <w:rsid w:val="001B6CF1"/>
    <w:rsid w:val="00251EB1"/>
    <w:rsid w:val="00262E06"/>
    <w:rsid w:val="002E2224"/>
    <w:rsid w:val="003526B2"/>
    <w:rsid w:val="00382FC1"/>
    <w:rsid w:val="003F22BB"/>
    <w:rsid w:val="005C5BFA"/>
    <w:rsid w:val="006D026C"/>
    <w:rsid w:val="0071028D"/>
    <w:rsid w:val="007B64AC"/>
    <w:rsid w:val="007E4B06"/>
    <w:rsid w:val="00821A97"/>
    <w:rsid w:val="00894CF9"/>
    <w:rsid w:val="009E25C5"/>
    <w:rsid w:val="00AD3944"/>
    <w:rsid w:val="00CD6D85"/>
    <w:rsid w:val="00CE6B30"/>
    <w:rsid w:val="00F36BDC"/>
    <w:rsid w:val="00FE493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200C"/>
  <w15:chartTrackingRefBased/>
  <w15:docId w15:val="{47677F08-8145-F043-AE1B-6C23023C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gu-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26C"/>
    <w:rPr>
      <w:rFonts w:ascii="Times New Roman" w:eastAsia="Times New Roman" w:hAnsi="Times New Roman" w:cs="Times New Roman"/>
    </w:rPr>
  </w:style>
  <w:style w:type="paragraph" w:styleId="Heading1">
    <w:name w:val="heading 1"/>
    <w:basedOn w:val="Normal"/>
    <w:next w:val="Normal"/>
    <w:link w:val="Heading1Char"/>
    <w:uiPriority w:val="9"/>
    <w:qFormat/>
    <w:rsid w:val="001B6C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C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C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B6C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22BB"/>
    <w:pPr>
      <w:autoSpaceDE w:val="0"/>
      <w:autoSpaceDN w:val="0"/>
      <w:adjustRightInd w:val="0"/>
    </w:pPr>
    <w:rPr>
      <w:rFonts w:ascii="Arial" w:hAnsi="Arial" w:cs="Arial"/>
      <w:color w:val="000000"/>
    </w:rPr>
  </w:style>
  <w:style w:type="paragraph" w:styleId="ListParagraph">
    <w:name w:val="List Paragraph"/>
    <w:basedOn w:val="Normal"/>
    <w:uiPriority w:val="34"/>
    <w:qFormat/>
    <w:rsid w:val="003F22BB"/>
    <w:pPr>
      <w:ind w:left="720"/>
      <w:contextualSpacing/>
    </w:pPr>
  </w:style>
  <w:style w:type="table" w:styleId="TableGrid">
    <w:name w:val="Table Grid"/>
    <w:basedOn w:val="TableNormal"/>
    <w:uiPriority w:val="39"/>
    <w:rsid w:val="003F2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B6C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6C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6CF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B6CF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D6D85"/>
    <w:rPr>
      <w:color w:val="0563C1" w:themeColor="hyperlink"/>
      <w:u w:val="single"/>
    </w:rPr>
  </w:style>
  <w:style w:type="character" w:styleId="UnresolvedMention">
    <w:name w:val="Unresolved Mention"/>
    <w:basedOn w:val="DefaultParagraphFont"/>
    <w:uiPriority w:val="99"/>
    <w:semiHidden/>
    <w:unhideWhenUsed/>
    <w:rsid w:val="00CD6D85"/>
    <w:rPr>
      <w:color w:val="808080"/>
      <w:shd w:val="clear" w:color="auto" w:fill="E6E6E6"/>
    </w:rPr>
  </w:style>
  <w:style w:type="character" w:styleId="FollowedHyperlink">
    <w:name w:val="FollowedHyperlink"/>
    <w:basedOn w:val="DefaultParagraphFont"/>
    <w:uiPriority w:val="99"/>
    <w:semiHidden/>
    <w:unhideWhenUsed/>
    <w:rsid w:val="00CD6D85"/>
    <w:rPr>
      <w:color w:val="954F72" w:themeColor="followedHyperlink"/>
      <w:u w:val="single"/>
    </w:rPr>
  </w:style>
  <w:style w:type="paragraph" w:styleId="Header">
    <w:name w:val="header"/>
    <w:basedOn w:val="Normal"/>
    <w:link w:val="HeaderChar"/>
    <w:uiPriority w:val="99"/>
    <w:unhideWhenUsed/>
    <w:rsid w:val="00CD6D85"/>
    <w:pPr>
      <w:tabs>
        <w:tab w:val="center" w:pos="4680"/>
        <w:tab w:val="right" w:pos="9360"/>
      </w:tabs>
    </w:pPr>
  </w:style>
  <w:style w:type="character" w:customStyle="1" w:styleId="HeaderChar">
    <w:name w:val="Header Char"/>
    <w:basedOn w:val="DefaultParagraphFont"/>
    <w:link w:val="Header"/>
    <w:uiPriority w:val="99"/>
    <w:rsid w:val="00CD6D85"/>
    <w:rPr>
      <w:rFonts w:ascii="Times New Roman" w:eastAsia="Times New Roman" w:hAnsi="Times New Roman" w:cs="Times New Roman"/>
    </w:rPr>
  </w:style>
  <w:style w:type="paragraph" w:styleId="Footer">
    <w:name w:val="footer"/>
    <w:basedOn w:val="Normal"/>
    <w:link w:val="FooterChar"/>
    <w:uiPriority w:val="99"/>
    <w:unhideWhenUsed/>
    <w:rsid w:val="00CD6D85"/>
    <w:pPr>
      <w:tabs>
        <w:tab w:val="center" w:pos="4680"/>
        <w:tab w:val="right" w:pos="9360"/>
      </w:tabs>
    </w:pPr>
  </w:style>
  <w:style w:type="character" w:customStyle="1" w:styleId="FooterChar">
    <w:name w:val="Footer Char"/>
    <w:basedOn w:val="DefaultParagraphFont"/>
    <w:link w:val="Footer"/>
    <w:uiPriority w:val="99"/>
    <w:rsid w:val="00CD6D8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01499">
      <w:bodyDiv w:val="1"/>
      <w:marLeft w:val="0"/>
      <w:marRight w:val="0"/>
      <w:marTop w:val="0"/>
      <w:marBottom w:val="0"/>
      <w:divBdr>
        <w:top w:val="none" w:sz="0" w:space="0" w:color="auto"/>
        <w:left w:val="none" w:sz="0" w:space="0" w:color="auto"/>
        <w:bottom w:val="none" w:sz="0" w:space="0" w:color="auto"/>
        <w:right w:val="none" w:sz="0" w:space="0" w:color="auto"/>
      </w:divBdr>
    </w:div>
    <w:div w:id="224342886">
      <w:bodyDiv w:val="1"/>
      <w:marLeft w:val="0"/>
      <w:marRight w:val="0"/>
      <w:marTop w:val="0"/>
      <w:marBottom w:val="0"/>
      <w:divBdr>
        <w:top w:val="none" w:sz="0" w:space="0" w:color="auto"/>
        <w:left w:val="none" w:sz="0" w:space="0" w:color="auto"/>
        <w:bottom w:val="none" w:sz="0" w:space="0" w:color="auto"/>
        <w:right w:val="none" w:sz="0" w:space="0" w:color="auto"/>
      </w:divBdr>
    </w:div>
    <w:div w:id="403913212">
      <w:bodyDiv w:val="1"/>
      <w:marLeft w:val="0"/>
      <w:marRight w:val="0"/>
      <w:marTop w:val="0"/>
      <w:marBottom w:val="0"/>
      <w:divBdr>
        <w:top w:val="none" w:sz="0" w:space="0" w:color="auto"/>
        <w:left w:val="none" w:sz="0" w:space="0" w:color="auto"/>
        <w:bottom w:val="none" w:sz="0" w:space="0" w:color="auto"/>
        <w:right w:val="none" w:sz="0" w:space="0" w:color="auto"/>
      </w:divBdr>
    </w:div>
    <w:div w:id="419719270">
      <w:bodyDiv w:val="1"/>
      <w:marLeft w:val="0"/>
      <w:marRight w:val="0"/>
      <w:marTop w:val="0"/>
      <w:marBottom w:val="0"/>
      <w:divBdr>
        <w:top w:val="none" w:sz="0" w:space="0" w:color="auto"/>
        <w:left w:val="none" w:sz="0" w:space="0" w:color="auto"/>
        <w:bottom w:val="none" w:sz="0" w:space="0" w:color="auto"/>
        <w:right w:val="none" w:sz="0" w:space="0" w:color="auto"/>
      </w:divBdr>
    </w:div>
    <w:div w:id="481696408">
      <w:bodyDiv w:val="1"/>
      <w:marLeft w:val="0"/>
      <w:marRight w:val="0"/>
      <w:marTop w:val="0"/>
      <w:marBottom w:val="0"/>
      <w:divBdr>
        <w:top w:val="none" w:sz="0" w:space="0" w:color="auto"/>
        <w:left w:val="none" w:sz="0" w:space="0" w:color="auto"/>
        <w:bottom w:val="none" w:sz="0" w:space="0" w:color="auto"/>
        <w:right w:val="none" w:sz="0" w:space="0" w:color="auto"/>
      </w:divBdr>
    </w:div>
    <w:div w:id="591014459">
      <w:bodyDiv w:val="1"/>
      <w:marLeft w:val="0"/>
      <w:marRight w:val="0"/>
      <w:marTop w:val="0"/>
      <w:marBottom w:val="0"/>
      <w:divBdr>
        <w:top w:val="none" w:sz="0" w:space="0" w:color="auto"/>
        <w:left w:val="none" w:sz="0" w:space="0" w:color="auto"/>
        <w:bottom w:val="none" w:sz="0" w:space="0" w:color="auto"/>
        <w:right w:val="none" w:sz="0" w:space="0" w:color="auto"/>
      </w:divBdr>
    </w:div>
    <w:div w:id="885217753">
      <w:bodyDiv w:val="1"/>
      <w:marLeft w:val="0"/>
      <w:marRight w:val="0"/>
      <w:marTop w:val="0"/>
      <w:marBottom w:val="0"/>
      <w:divBdr>
        <w:top w:val="none" w:sz="0" w:space="0" w:color="auto"/>
        <w:left w:val="none" w:sz="0" w:space="0" w:color="auto"/>
        <w:bottom w:val="none" w:sz="0" w:space="0" w:color="auto"/>
        <w:right w:val="none" w:sz="0" w:space="0" w:color="auto"/>
      </w:divBdr>
    </w:div>
    <w:div w:id="1318538479">
      <w:bodyDiv w:val="1"/>
      <w:marLeft w:val="0"/>
      <w:marRight w:val="0"/>
      <w:marTop w:val="0"/>
      <w:marBottom w:val="0"/>
      <w:divBdr>
        <w:top w:val="none" w:sz="0" w:space="0" w:color="auto"/>
        <w:left w:val="none" w:sz="0" w:space="0" w:color="auto"/>
        <w:bottom w:val="none" w:sz="0" w:space="0" w:color="auto"/>
        <w:right w:val="none" w:sz="0" w:space="0" w:color="auto"/>
      </w:divBdr>
    </w:div>
    <w:div w:id="1789082026">
      <w:bodyDiv w:val="1"/>
      <w:marLeft w:val="0"/>
      <w:marRight w:val="0"/>
      <w:marTop w:val="0"/>
      <w:marBottom w:val="0"/>
      <w:divBdr>
        <w:top w:val="none" w:sz="0" w:space="0" w:color="auto"/>
        <w:left w:val="none" w:sz="0" w:space="0" w:color="auto"/>
        <w:bottom w:val="none" w:sz="0" w:space="0" w:color="auto"/>
        <w:right w:val="none" w:sz="0" w:space="0" w:color="auto"/>
      </w:divBdr>
    </w:div>
    <w:div w:id="1897086425">
      <w:bodyDiv w:val="1"/>
      <w:marLeft w:val="0"/>
      <w:marRight w:val="0"/>
      <w:marTop w:val="0"/>
      <w:marBottom w:val="0"/>
      <w:divBdr>
        <w:top w:val="none" w:sz="0" w:space="0" w:color="auto"/>
        <w:left w:val="none" w:sz="0" w:space="0" w:color="auto"/>
        <w:bottom w:val="none" w:sz="0" w:space="0" w:color="auto"/>
        <w:right w:val="none" w:sz="0" w:space="0" w:color="auto"/>
      </w:divBdr>
    </w:div>
    <w:div w:id="2009022357">
      <w:bodyDiv w:val="1"/>
      <w:marLeft w:val="0"/>
      <w:marRight w:val="0"/>
      <w:marTop w:val="0"/>
      <w:marBottom w:val="0"/>
      <w:divBdr>
        <w:top w:val="none" w:sz="0" w:space="0" w:color="auto"/>
        <w:left w:val="none" w:sz="0" w:space="0" w:color="auto"/>
        <w:bottom w:val="none" w:sz="0" w:space="0" w:color="auto"/>
        <w:right w:val="none" w:sz="0" w:space="0" w:color="auto"/>
      </w:divBdr>
    </w:div>
    <w:div w:id="21344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things-about-r.tumblr.com/" TargetMode="External"/><Relationship Id="rId3" Type="http://schemas.openxmlformats.org/officeDocument/2006/relationships/styles" Target="styles.xml"/><Relationship Id="rId21" Type="http://schemas.openxmlformats.org/officeDocument/2006/relationships/hyperlink" Target="http://www.r-tutor.com/elementary-statistics/numerical-measures/standard-deviatio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r-tutor.com/elementary-statistics/quantitative-data/scatter-plo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data.library.virginia.edu/understanding-q-q-plo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arwick.ac.uk/fac/sci/moac/people/students/peter_cock/r/iris_plo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tiff"/><Relationship Id="rId22" Type="http://schemas.openxmlformats.org/officeDocument/2006/relationships/hyperlink" Target="http://statweb.stanford.edu/~jtaylo/courses/stats202/visualiz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A967C-47CC-2F46-8C75-53174592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Kalani, Vidit</dc:creator>
  <cp:keywords/>
  <dc:description/>
  <cp:lastModifiedBy>Kalani, Vidit</cp:lastModifiedBy>
  <cp:revision>1</cp:revision>
  <dcterms:created xsi:type="dcterms:W3CDTF">2018-01-31T18:47:00Z</dcterms:created>
  <dcterms:modified xsi:type="dcterms:W3CDTF">2018-01-31T23:43:00Z</dcterms:modified>
</cp:coreProperties>
</file>