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1</w:t>
            </w:r>
          </w:p>
          <w:p>
            <w:pPr>
              <w:spacing w:before="80"/>
              <w:jc w:val="center"/>
            </w:pPr>
            <w:r>
              <w:rPr>
                <w:b/>
                <w:bCs/>
                <w:color w:val="FFFFFF"/>
                <w:sz w:val="26"/>
                <w:szCs w:val="26"/>
              </w:rPr>
              <w:t xml:space="preserve">Why Databricks, Why Now — Career Opportunity &amp; Series Introduction</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rFonts w:ascii="Calibri" w:cs="Calibri" w:eastAsia="Calibri" w:hAnsi="Calibri"/>
                <w:b/>
                <w:bCs/>
                <w:color w:val="FFFFFF"/>
                <w:sz w:val="32"/>
                <w:szCs w:val="32"/>
              </w:rPr>
              <w:t xml:space="preserve">Why Databricks, Why Now</w:t>
            </w:r>
          </w:p>
        </w:tc>
      </w:tr>
    </w:tbl>
    <w:p>
      <w:pPr>
        <w:spacing w:after="160"/>
      </w:pPr>
      <w:r>
        <w:t xml:space="preserve"/>
      </w:r>
    </w:p>
    <w:p>
      <w:pPr>
        <w:spacing w:after="160"/>
      </w:pPr>
      <w:r>
        <w:rPr>
          <w:b w:val="false"/>
          <w:bCs w:val="false"/>
          <w:i w:val="false"/>
          <w:iCs w:val="false"/>
          <w:color w:val="222222"/>
          <w:sz w:val="22"/>
          <w:szCs w:val="22"/>
        </w:rPr>
        <w:t xml:space="preserve">Databricks has become one of the fastest-growing platforms in the modern data stack, and the job market reflects it directly. This section lays out the numbers behind the hook you saw in the reel.</w:t>
      </w:r>
    </w:p>
    <w:p>
      <w:pPr>
        <w:spacing w:after="120" w:before="220"/>
      </w:pPr>
      <w:r>
        <w:rPr>
          <w:b/>
          <w:bCs/>
          <w:color w:val="16305C"/>
          <w:sz w:val="25"/>
          <w:szCs w:val="25"/>
        </w:rPr>
        <w:t xml:space="preserve">The Growth Signal</w:t>
      </w:r>
    </w:p>
    <w:p>
      <w:pPr>
        <w:pStyle w:val="ListParagraph"/>
        <w:numPr>
          <w:ilvl w:val="0"/>
          <w:numId w:val="1"/>
        </w:numPr>
        <w:spacing w:after="90"/>
      </w:pPr>
      <w:r>
        <w:rPr>
          <w:color w:val="222222"/>
          <w:sz w:val="22"/>
          <w:szCs w:val="22"/>
        </w:rPr>
        <w:t xml:space="preserve">Databricks job postings grew over 10% year-over-year in the most recent annual period, continuing a multi-year upward trend.</w:t>
      </w:r>
    </w:p>
    <w:p>
      <w:pPr>
        <w:pStyle w:val="ListParagraph"/>
        <w:numPr>
          <w:ilvl w:val="0"/>
          <w:numId w:val="1"/>
        </w:numPr>
        <w:spacing w:after="90"/>
      </w:pPr>
      <w:r>
        <w:rPr>
          <w:color w:val="222222"/>
          <w:sz w:val="22"/>
          <w:szCs w:val="22"/>
        </w:rPr>
        <w:t xml:space="preserve">Databricks' own workforce has grown roughly 60% over the last two years, with continued double-digit year-over-year growth.</w:t>
      </w:r>
    </w:p>
    <w:p>
      <w:pPr>
        <w:pStyle w:val="ListParagraph"/>
        <w:numPr>
          <w:ilvl w:val="0"/>
          <w:numId w:val="1"/>
        </w:numPr>
        <w:spacing w:after="90"/>
      </w:pPr>
      <w:r>
        <w:rPr>
          <w:color w:val="222222"/>
          <w:sz w:val="22"/>
          <w:szCs w:val="22"/>
        </w:rPr>
        <w:t xml:space="preserve">Databricks now appears in a meaningful share of all Data Engineer job postings analyzed industry-wide, alongside Spark and Snowflake as one of the most requested platform skills.</w:t>
      </w:r>
    </w:p>
    <w:p>
      <w:pPr>
        <w:pStyle w:val="ListParagraph"/>
        <w:numPr>
          <w:ilvl w:val="0"/>
          <w:numId w:val="1"/>
        </w:numPr>
        <w:spacing w:after="90"/>
      </w:pPr>
      <w:r>
        <w:rPr>
          <w:color w:val="222222"/>
          <w:sz w:val="22"/>
          <w:szCs w:val="22"/>
        </w:rPr>
        <w:t xml:space="preserve">The Bureau of Labor Statistics projects data engineering and data science roles to be among the fastest-growing occupations through the early 2030s.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REALITY CHECK</w:t>
            </w:r>
          </w:p>
          <w:p>
            <w:r>
              <w:rPr>
                <w:color w:val="1A1A1A"/>
                <w:sz w:val="21"/>
                <w:szCs w:val="21"/>
              </w:rPr>
              <w:t xml:space="preserve">Exact salary figures vary widely by city, company stage, and experience level. Treat any single number you see online (including in this document) as a directional signal, not a guarantee. Use it to gauge market direction, not to negotiate a specific offer.</w:t>
            </w:r>
          </w:p>
        </w:tc>
      </w:tr>
    </w:tbl>
    <w:p>
      <w:pPr>
        <w:spacing w:after="160"/>
      </w:pPr>
      <w:r>
        <w:t xml:space="preserve"/>
      </w:r>
    </w:p>
    <w:p>
      <w:pPr>
        <w:spacing w:after="120" w:before="220"/>
      </w:pPr>
      <w:r>
        <w:rPr>
          <w:b/>
          <w:bCs/>
          <w:color w:val="16305C"/>
          <w:sz w:val="25"/>
          <w:szCs w:val="25"/>
        </w:rPr>
        <w:t xml:space="preserve">Why This Matters For You</w:t>
      </w:r>
    </w:p>
    <w:p>
      <w:pPr>
        <w:spacing w:after="160"/>
      </w:pPr>
      <w:r>
        <w:rPr>
          <w:b w:val="false"/>
          <w:bCs w:val="false"/>
          <w:i w:val="false"/>
          <w:iCs w:val="false"/>
          <w:color w:val="222222"/>
          <w:sz w:val="22"/>
          <w:szCs w:val="22"/>
        </w:rPr>
        <w:t xml:space="preserve">Databricks-related roles now span multiple titles: Data Engineer, Analytics Engineer, ML Engineer, and Platform/Lakehouse Engineer. Interviewers increasingly expect candidates to understand not just SQL and Python, but how a modern Lakehouse platform is architected end-to-end. That is exactly the gap this series is built to close.</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rFonts w:ascii="Calibri" w:cs="Calibri" w:eastAsia="Calibri" w:hAnsi="Calibri"/>
                <w:b/>
                <w:bCs/>
                <w:color w:val="FFFFFF"/>
                <w:sz w:val="32"/>
                <w:szCs w:val="32"/>
              </w:rPr>
              <w:t xml:space="preserve">What Is Databricks, Really</w:t>
            </w:r>
          </w:p>
        </w:tc>
      </w:tr>
    </w:tbl>
    <w:p>
      <w:pPr>
        <w:spacing w:after="160"/>
      </w:pPr>
      <w:r>
        <w:t xml:space="preserve"/>
      </w:r>
    </w:p>
    <w:p>
      <w:pPr>
        <w:spacing w:after="160"/>
      </w:pPr>
      <w:r>
        <w:rPr>
          <w:b w:val="false"/>
          <w:bCs w:val="false"/>
          <w:i w:val="false"/>
          <w:iCs w:val="false"/>
          <w:color w:val="222222"/>
          <w:sz w:val="22"/>
          <w:szCs w:val="22"/>
        </w:rPr>
        <w:t xml:space="preserve">Databricks is a unified data and AI platform built primarily on Apache Spark. It provides the compute, orchestration, governance, and collaboration layer that data teams use to build pipelines, run analytics, and train machine learning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Databricks does not store your data itself. Your actual data lives in your cloud object storage, such as AWS S3, Azure Data Lake Storage, or Google Cloud Storage. Databricks is the compute and management layer that sits on top of that storage, processing, governing, and refining the data without owning it.</w:t>
            </w:r>
          </w:p>
        </w:tc>
      </w:tr>
    </w:tbl>
    <w:p>
      <w:pPr>
        <w:spacing w:after="160"/>
      </w:pPr>
      <w:r>
        <w:t xml:space="preserve"/>
      </w:r>
    </w:p>
    <w:p>
      <w:pPr>
        <w:spacing w:after="120" w:before="220"/>
      </w:pPr>
      <w:r>
        <w:rPr>
          <w:b/>
          <w:bCs/>
          <w:color w:val="16305C"/>
          <w:sz w:val="25"/>
          <w:szCs w:val="25"/>
        </w:rPr>
        <w:t xml:space="preserve">The Problem Databricks Solves</w:t>
      </w:r>
    </w:p>
    <w:p>
      <w:pPr>
        <w:spacing w:after="160"/>
      </w:pPr>
      <w:r>
        <w:rPr>
          <w:b w:val="false"/>
          <w:bCs w:val="false"/>
          <w:i w:val="false"/>
          <w:iCs w:val="false"/>
          <w:color w:val="222222"/>
          <w:sz w:val="22"/>
          <w:szCs w:val="22"/>
        </w:rPr>
        <w:t xml:space="preserve">Before platforms like Databricks, data teams typically had to choose between two imperfect options.</w:t>
      </w:r>
    </w:p>
    <w:p>
      <w:pPr>
        <w:pStyle w:val="ListParagraph"/>
        <w:numPr>
          <w:ilvl w:val="0"/>
          <w:numId w:val="1"/>
        </w:numPr>
        <w:spacing w:after="90"/>
      </w:pPr>
      <w:r>
        <w:rPr>
          <w:color w:val="222222"/>
          <w:sz w:val="22"/>
          <w:szCs w:val="22"/>
        </w:rPr>
        <w:t xml:space="preserve">Data Lakes: cheap, flexible storage for raw data of any format, but weak on structure, reliability, and performance.</w:t>
      </w:r>
    </w:p>
    <w:p>
      <w:pPr>
        <w:pStyle w:val="ListParagraph"/>
        <w:numPr>
          <w:ilvl w:val="0"/>
          <w:numId w:val="1"/>
        </w:numPr>
        <w:spacing w:after="90"/>
      </w:pPr>
      <w:r>
        <w:rPr>
          <w:color w:val="222222"/>
          <w:sz w:val="22"/>
          <w:szCs w:val="22"/>
        </w:rPr>
        <w:t xml:space="preserve">Data Warehouses: strong structure, reliability, and query performance, but expensive and rigid, with limited support for unstructured or semi-structured data.</w:t>
      </w:r>
    </w:p>
    <w:p>
      <w:pPr>
        <w:spacing w:after="160"/>
      </w:pPr>
      <w:r>
        <w:rPr>
          <w:b w:val="false"/>
          <w:bCs w:val="false"/>
          <w:i w:val="false"/>
          <w:iCs w:val="false"/>
          <w:color w:val="222222"/>
          <w:sz w:val="22"/>
          <w:szCs w:val="22"/>
        </w:rPr>
        <w:t xml:space="preserve">Databricks popularized the Lakehouse architecture, which combines the low-cost flexible storage of a data lake with the reliability, structure, and performance features traditionally associated with a data warehouse, using Delta Lake as the underlying storage format.</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rFonts w:ascii="Calibri" w:cs="Calibri" w:eastAsia="Calibri" w:hAnsi="Calibri"/>
                <w:b/>
                <w:bCs/>
                <w:color w:val="FFFFFF"/>
                <w:sz w:val="32"/>
                <w:szCs w:val="32"/>
              </w:rPr>
              <w:t xml:space="preserve">The Lakehouse Architecture (High Level)</w:t>
            </w:r>
          </w:p>
        </w:tc>
      </w:tr>
    </w:tbl>
    <w:p>
      <w:pPr>
        <w:spacing w:after="160"/>
      </w:pPr>
      <w:r>
        <w:t xml:space="preserve"/>
      </w:r>
    </w:p>
    <w:p>
      <w:pPr>
        <w:spacing w:after="160"/>
      </w:pPr>
      <w:r>
        <w:rPr>
          <w:b w:val="false"/>
          <w:bCs w:val="false"/>
          <w:i w:val="false"/>
          <w:iCs w:val="false"/>
          <w:color w:val="222222"/>
          <w:sz w:val="22"/>
          <w:szCs w:val="22"/>
        </w:rPr>
        <w:t xml:space="preserve">A simplified view of how the pieces fit together at a conceptual level:</w:t>
      </w:r>
    </w:p>
    <w:p>
      <w:pPr>
        <w:spacing w:after="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DATABRICKS PLATFORM                  |</w:t>
            </w:r>
          </w:p>
          <w:p>
            <w:pPr>
              <w:spacing w:after="20"/>
            </w:pPr>
            <w:r>
              <w:rPr>
                <w:rFonts w:ascii="Consolas" w:cs="Consolas" w:eastAsia="Consolas" w:hAnsi="Consolas"/>
                <w:color w:val="E8E8E8"/>
                <w:sz w:val="19"/>
                <w:szCs w:val="19"/>
              </w:rPr>
              <w:t xml:space="preserve">  |   (Compute, Governance, Orchestration, ML/AI tools)  |</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   Notebooks | Clusters | Unity Catalog | Workflows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reads / writes / processes</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YOUR CLOUD OBJECT STORAGE                |</w:t>
            </w:r>
          </w:p>
          <w:p>
            <w:pPr>
              <w:spacing w:after="20"/>
            </w:pPr>
            <w:r>
              <w:rPr>
                <w:rFonts w:ascii="Consolas" w:cs="Consolas" w:eastAsia="Consolas" w:hAnsi="Consolas"/>
                <w:color w:val="E8E8E8"/>
                <w:sz w:val="19"/>
                <w:szCs w:val="19"/>
              </w:rPr>
              <w:t xml:space="preserve">  |        (AWS S3 / Azure ADLS / Google Cloud Storage)  |</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     Delta Lake tables sit here as the actual files    |</w:t>
            </w:r>
          </w:p>
          <w:p>
            <w:pPr>
              <w:spacing w:after="20"/>
            </w:pPr>
            <w:r>
              <w:rPr>
                <w:rFonts w:ascii="Consolas" w:cs="Consolas" w:eastAsia="Consolas" w:hAnsi="Consolas"/>
                <w:color w:val="E8E8E8"/>
                <w:sz w:val="19"/>
                <w:szCs w:val="19"/>
              </w:rPr>
              <w:t xml:space="preserve">  +-----------------------------------------------------+</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A very common interview trap is assuming Databricks is a database or a storage system. The correct framing: Databricks is a unified compute and governance layer; the data itself resides in cloud object storage, typically in Delta Lake format.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rFonts w:ascii="Calibri" w:cs="Calibri" w:eastAsia="Calibri" w:hAnsi="Calibri"/>
                <w:b/>
                <w:bCs/>
                <w:color w:val="FFFFFF"/>
                <w:sz w:val="32"/>
                <w:szCs w:val="32"/>
              </w:rPr>
              <w:t xml:space="preserve">Data Warehouse vs Data Lake vs Lakehouse</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50"/>
      </w:tblGrid>
      <w:tr>
        <w:tc>
          <w:tcPr>
            <w:tcW w:type="dxa" w:w="2400"/>
            <w:shd w:fill="0B1F3A" w:val="clear"/>
            <w:tcMar>
              <w:top w:type="dxa" w:w="120"/>
              <w:left w:type="dxa" w:w="140"/>
              <w:bottom w:type="dxa" w:w="120"/>
              <w:right w:type="dxa" w:w="140"/>
            </w:tcMar>
            <w:vAlign w:val="center"/>
          </w:tcPr>
          <w:p>
            <w:r>
              <w:rPr>
                <w:b/>
                <w:bCs/>
                <w:color w:val="FFFFFF"/>
                <w:sz w:val="20"/>
                <w:szCs w:val="20"/>
              </w:rPr>
              <w:t xml:space="preserve">Aspect</w:t>
            </w:r>
          </w:p>
        </w:tc>
        <w:tc>
          <w:tcPr>
            <w:tcW w:type="dxa" w:w="2300"/>
            <w:shd w:fill="0B1F3A" w:val="clear"/>
            <w:tcMar>
              <w:top w:type="dxa" w:w="120"/>
              <w:left w:type="dxa" w:w="140"/>
              <w:bottom w:type="dxa" w:w="120"/>
              <w:right w:type="dxa" w:w="140"/>
            </w:tcMar>
            <w:vAlign w:val="center"/>
          </w:tcPr>
          <w:p>
            <w:r>
              <w:rPr>
                <w:b/>
                <w:bCs/>
                <w:color w:val="FFFFFF"/>
                <w:sz w:val="20"/>
                <w:szCs w:val="20"/>
              </w:rPr>
              <w:t xml:space="preserve">Data Warehouse</w:t>
            </w:r>
          </w:p>
        </w:tc>
        <w:tc>
          <w:tcPr>
            <w:tcW w:type="dxa" w:w="2300"/>
            <w:shd w:fill="0B1F3A" w:val="clear"/>
            <w:tcMar>
              <w:top w:type="dxa" w:w="120"/>
              <w:left w:type="dxa" w:w="140"/>
              <w:bottom w:type="dxa" w:w="120"/>
              <w:right w:type="dxa" w:w="140"/>
            </w:tcMar>
            <w:vAlign w:val="center"/>
          </w:tcPr>
          <w:p>
            <w:r>
              <w:rPr>
                <w:b/>
                <w:bCs/>
                <w:color w:val="FFFFFF"/>
                <w:sz w:val="20"/>
                <w:szCs w:val="20"/>
              </w:rPr>
              <w:t xml:space="preserve">Data Lake</w:t>
            </w:r>
          </w:p>
        </w:tc>
        <w:tc>
          <w:tcPr>
            <w:tcW w:type="dxa" w:w="2350"/>
            <w:shd w:fill="0B1F3A" w:val="clear"/>
            <w:tcMar>
              <w:top w:type="dxa" w:w="120"/>
              <w:left w:type="dxa" w:w="140"/>
              <w:bottom w:type="dxa" w:w="120"/>
              <w:right w:type="dxa" w:w="140"/>
            </w:tcMar>
            <w:vAlign w:val="center"/>
          </w:tcPr>
          <w:p>
            <w:r>
              <w:rPr>
                <w:b/>
                <w:bCs/>
                <w:color w:val="FFFFFF"/>
                <w:sz w:val="20"/>
                <w:szCs w:val="20"/>
              </w:rPr>
              <w:t xml:space="preserve">Lakehouse (Databricks)</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Data Structure</w:t>
            </w:r>
          </w:p>
        </w:tc>
        <w:tc>
          <w:tcPr>
            <w:tcW w:type="dxa" w:w="2300"/>
            <w:shd w:fill="FFFFFF" w:val="clear"/>
            <w:tcMar>
              <w:top w:type="dxa" w:w="110"/>
              <w:left w:type="dxa" w:w="140"/>
              <w:bottom w:type="dxa" w:w="110"/>
              <w:right w:type="dxa" w:w="140"/>
            </w:tcMar>
            <w:vAlign w:val="center"/>
          </w:tcPr>
          <w:p>
            <w:r>
              <w:rPr>
                <w:color w:val="222222"/>
                <w:sz w:val="20"/>
                <w:szCs w:val="20"/>
              </w:rPr>
              <w:t xml:space="preserve">Structured only</w:t>
            </w:r>
          </w:p>
        </w:tc>
        <w:tc>
          <w:tcPr>
            <w:tcW w:type="dxa" w:w="2300"/>
            <w:shd w:fill="FFFFFF" w:val="clear"/>
            <w:tcMar>
              <w:top w:type="dxa" w:w="110"/>
              <w:left w:type="dxa" w:w="140"/>
              <w:bottom w:type="dxa" w:w="110"/>
              <w:right w:type="dxa" w:w="140"/>
            </w:tcMar>
            <w:vAlign w:val="center"/>
          </w:tcPr>
          <w:p>
            <w:r>
              <w:rPr>
                <w:color w:val="222222"/>
                <w:sz w:val="20"/>
                <w:szCs w:val="20"/>
              </w:rPr>
              <w:t xml:space="preserve">Any format (raw)</w:t>
            </w:r>
          </w:p>
        </w:tc>
        <w:tc>
          <w:tcPr>
            <w:tcW w:type="dxa" w:w="2350"/>
            <w:shd w:fill="FFFFFF" w:val="clear"/>
            <w:tcMar>
              <w:top w:type="dxa" w:w="110"/>
              <w:left w:type="dxa" w:w="140"/>
              <w:bottom w:type="dxa" w:w="110"/>
              <w:right w:type="dxa" w:w="140"/>
            </w:tcMar>
            <w:vAlign w:val="center"/>
          </w:tcPr>
          <w:p>
            <w:r>
              <w:rPr>
                <w:color w:val="222222"/>
                <w:sz w:val="20"/>
                <w:szCs w:val="20"/>
              </w:rPr>
              <w:t xml:space="preserve">Any format, with structure enforced</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Cost</w:t>
            </w:r>
          </w:p>
        </w:tc>
        <w:tc>
          <w:tcPr>
            <w:tcW w:type="dxa" w:w="2300"/>
            <w:shd w:fill="F2F2F2" w:val="clear"/>
            <w:tcMar>
              <w:top w:type="dxa" w:w="110"/>
              <w:left w:type="dxa" w:w="140"/>
              <w:bottom w:type="dxa" w:w="110"/>
              <w:right w:type="dxa" w:w="140"/>
            </w:tcMar>
            <w:vAlign w:val="center"/>
          </w:tcPr>
          <w:p>
            <w:r>
              <w:rPr>
                <w:color w:val="222222"/>
                <w:sz w:val="20"/>
                <w:szCs w:val="20"/>
              </w:rPr>
              <w:t xml:space="preserve">Higher</w:t>
            </w:r>
          </w:p>
        </w:tc>
        <w:tc>
          <w:tcPr>
            <w:tcW w:type="dxa" w:w="2300"/>
            <w:shd w:fill="F2F2F2" w:val="clear"/>
            <w:tcMar>
              <w:top w:type="dxa" w:w="110"/>
              <w:left w:type="dxa" w:w="140"/>
              <w:bottom w:type="dxa" w:w="110"/>
              <w:right w:type="dxa" w:w="140"/>
            </w:tcMar>
            <w:vAlign w:val="center"/>
          </w:tcPr>
          <w:p>
            <w:r>
              <w:rPr>
                <w:color w:val="222222"/>
                <w:sz w:val="20"/>
                <w:szCs w:val="20"/>
              </w:rPr>
              <w:t xml:space="preserve">Low</w:t>
            </w:r>
          </w:p>
        </w:tc>
        <w:tc>
          <w:tcPr>
            <w:tcW w:type="dxa" w:w="2350"/>
            <w:shd w:fill="F2F2F2" w:val="clear"/>
            <w:tcMar>
              <w:top w:type="dxa" w:w="110"/>
              <w:left w:type="dxa" w:w="140"/>
              <w:bottom w:type="dxa" w:w="110"/>
              <w:right w:type="dxa" w:w="140"/>
            </w:tcMar>
            <w:vAlign w:val="center"/>
          </w:tcPr>
          <w:p>
            <w:r>
              <w:rPr>
                <w:color w:val="222222"/>
                <w:sz w:val="20"/>
                <w:szCs w:val="20"/>
              </w:rPr>
              <w:t xml:space="preserve">Low, storage-efficient</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Reliability (ACID)</w:t>
            </w:r>
          </w:p>
        </w:tc>
        <w:tc>
          <w:tcPr>
            <w:tcW w:type="dxa" w:w="2300"/>
            <w:shd w:fill="FFFFFF" w:val="clear"/>
            <w:tcMar>
              <w:top w:type="dxa" w:w="110"/>
              <w:left w:type="dxa" w:w="140"/>
              <w:bottom w:type="dxa" w:w="110"/>
              <w:right w:type="dxa" w:w="140"/>
            </w:tcMar>
            <w:vAlign w:val="center"/>
          </w:tcPr>
          <w:p>
            <w:r>
              <w:rPr>
                <w:color w:val="222222"/>
                <w:sz w:val="20"/>
                <w:szCs w:val="20"/>
              </w:rPr>
              <w:t xml:space="preserve">Strong</w:t>
            </w:r>
          </w:p>
        </w:tc>
        <w:tc>
          <w:tcPr>
            <w:tcW w:type="dxa" w:w="2300"/>
            <w:shd w:fill="FFFFFF" w:val="clear"/>
            <w:tcMar>
              <w:top w:type="dxa" w:w="110"/>
              <w:left w:type="dxa" w:w="140"/>
              <w:bottom w:type="dxa" w:w="110"/>
              <w:right w:type="dxa" w:w="140"/>
            </w:tcMar>
            <w:vAlign w:val="center"/>
          </w:tcPr>
          <w:p>
            <w:r>
              <w:rPr>
                <w:color w:val="222222"/>
                <w:sz w:val="20"/>
                <w:szCs w:val="20"/>
              </w:rPr>
              <w:t xml:space="preserve">Weak / none</w:t>
            </w:r>
          </w:p>
        </w:tc>
        <w:tc>
          <w:tcPr>
            <w:tcW w:type="dxa" w:w="2350"/>
            <w:shd w:fill="FFFFFF" w:val="clear"/>
            <w:tcMar>
              <w:top w:type="dxa" w:w="110"/>
              <w:left w:type="dxa" w:w="140"/>
              <w:bottom w:type="dxa" w:w="110"/>
              <w:right w:type="dxa" w:w="140"/>
            </w:tcMar>
            <w:vAlign w:val="center"/>
          </w:tcPr>
          <w:p>
            <w:r>
              <w:rPr>
                <w:color w:val="222222"/>
                <w:sz w:val="20"/>
                <w:szCs w:val="20"/>
              </w:rPr>
              <w:t xml:space="preserve">Strong, via Delta Lake</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Best For</w:t>
            </w:r>
          </w:p>
        </w:tc>
        <w:tc>
          <w:tcPr>
            <w:tcW w:type="dxa" w:w="2300"/>
            <w:shd w:fill="F2F2F2" w:val="clear"/>
            <w:tcMar>
              <w:top w:type="dxa" w:w="110"/>
              <w:left w:type="dxa" w:w="140"/>
              <w:bottom w:type="dxa" w:w="110"/>
              <w:right w:type="dxa" w:w="140"/>
            </w:tcMar>
            <w:vAlign w:val="center"/>
          </w:tcPr>
          <w:p>
            <w:r>
              <w:rPr>
                <w:color w:val="222222"/>
                <w:sz w:val="20"/>
                <w:szCs w:val="20"/>
              </w:rPr>
              <w:t xml:space="preserve">BI, reporting</w:t>
            </w:r>
          </w:p>
        </w:tc>
        <w:tc>
          <w:tcPr>
            <w:tcW w:type="dxa" w:w="2300"/>
            <w:shd w:fill="F2F2F2" w:val="clear"/>
            <w:tcMar>
              <w:top w:type="dxa" w:w="110"/>
              <w:left w:type="dxa" w:w="140"/>
              <w:bottom w:type="dxa" w:w="110"/>
              <w:right w:type="dxa" w:w="140"/>
            </w:tcMar>
            <w:vAlign w:val="center"/>
          </w:tcPr>
          <w:p>
            <w:r>
              <w:rPr>
                <w:color w:val="222222"/>
                <w:sz w:val="20"/>
                <w:szCs w:val="20"/>
              </w:rPr>
              <w:t xml:space="preserve">Raw data storage</w:t>
            </w:r>
          </w:p>
        </w:tc>
        <w:tc>
          <w:tcPr>
            <w:tcW w:type="dxa" w:w="2350"/>
            <w:shd w:fill="F2F2F2" w:val="clear"/>
            <w:tcMar>
              <w:top w:type="dxa" w:w="110"/>
              <w:left w:type="dxa" w:w="140"/>
              <w:bottom w:type="dxa" w:w="110"/>
              <w:right w:type="dxa" w:w="140"/>
            </w:tcMar>
            <w:vAlign w:val="center"/>
          </w:tcPr>
          <w:p>
            <w:r>
              <w:rPr>
                <w:color w:val="222222"/>
                <w:sz w:val="20"/>
                <w:szCs w:val="20"/>
              </w:rPr>
              <w:t xml:space="preserve">BI, ML, streaming, all in one</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Flexibility</w:t>
            </w:r>
          </w:p>
        </w:tc>
        <w:tc>
          <w:tcPr>
            <w:tcW w:type="dxa" w:w="2300"/>
            <w:shd w:fill="FFFFFF" w:val="clear"/>
            <w:tcMar>
              <w:top w:type="dxa" w:w="110"/>
              <w:left w:type="dxa" w:w="140"/>
              <w:bottom w:type="dxa" w:w="110"/>
              <w:right w:type="dxa" w:w="140"/>
            </w:tcMar>
            <w:vAlign w:val="center"/>
          </w:tcPr>
          <w:p>
            <w:r>
              <w:rPr>
                <w:color w:val="222222"/>
                <w:sz w:val="20"/>
                <w:szCs w:val="20"/>
              </w:rPr>
              <w:t xml:space="preserve">Low</w:t>
            </w:r>
          </w:p>
        </w:tc>
        <w:tc>
          <w:tcPr>
            <w:tcW w:type="dxa" w:w="2300"/>
            <w:shd w:fill="FFFFFF" w:val="clear"/>
            <w:tcMar>
              <w:top w:type="dxa" w:w="110"/>
              <w:left w:type="dxa" w:w="140"/>
              <w:bottom w:type="dxa" w:w="110"/>
              <w:right w:type="dxa" w:w="140"/>
            </w:tcMar>
            <w:vAlign w:val="center"/>
          </w:tcPr>
          <w:p>
            <w:r>
              <w:rPr>
                <w:color w:val="222222"/>
                <w:sz w:val="20"/>
                <w:szCs w:val="20"/>
              </w:rPr>
              <w:t xml:space="preserve">High</w:t>
            </w:r>
          </w:p>
        </w:tc>
        <w:tc>
          <w:tcPr>
            <w:tcW w:type="dxa" w:w="2350"/>
            <w:shd w:fill="FFFFFF" w:val="clear"/>
            <w:tcMar>
              <w:top w:type="dxa" w:w="110"/>
              <w:left w:type="dxa" w:w="140"/>
              <w:bottom w:type="dxa" w:w="110"/>
              <w:right w:type="dxa" w:w="140"/>
            </w:tcMar>
            <w:vAlign w:val="center"/>
          </w:tcPr>
          <w:p>
            <w:r>
              <w:rPr>
                <w:color w:val="222222"/>
                <w:sz w:val="20"/>
                <w:szCs w:val="20"/>
              </w:rPr>
              <w:t xml:space="preserve">High</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rFonts w:ascii="Calibri" w:cs="Calibri" w:eastAsia="Calibri" w:hAnsi="Calibri"/>
                <w:b/>
                <w:bCs/>
                <w:color w:val="FFFFFF"/>
                <w:sz w:val="32"/>
                <w:szCs w:val="32"/>
              </w:rPr>
              <w:t xml:space="preserve">What This 30-Day Series Covers</w:t>
            </w:r>
          </w:p>
        </w:tc>
      </w:tr>
    </w:tbl>
    <w:p>
      <w:pPr>
        <w:spacing w:after="160"/>
      </w:pPr>
      <w:r>
        <w:t xml:space="preserve"/>
      </w:r>
    </w:p>
    <w:p>
      <w:pPr>
        <w:spacing w:after="160"/>
      </w:pPr>
      <w:r>
        <w:rPr>
          <w:b w:val="false"/>
          <w:bCs w:val="false"/>
          <w:i w:val="false"/>
          <w:iCs w:val="false"/>
          <w:color w:val="222222"/>
          <w:sz w:val="22"/>
          <w:szCs w:val="22"/>
        </w:rPr>
        <w:t xml:space="preserve">The series is structured in five phases, moving from foundations to advanced, production-grade concepts.</w:t>
      </w:r>
    </w:p>
    <w:p>
      <w:pPr>
        <w:spacing w:after="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0B1F3A" w:val="clear"/>
            <w:tcMar>
              <w:top w:type="dxa" w:w="120"/>
              <w:left w:type="dxa" w:w="140"/>
              <w:bottom w:type="dxa" w:w="120"/>
              <w:right w:type="dxa" w:w="140"/>
            </w:tcMar>
            <w:vAlign w:val="center"/>
          </w:tcPr>
          <w:p>
            <w:r>
              <w:rPr>
                <w:b/>
                <w:bCs/>
                <w:color w:val="FFFFFF"/>
                <w:sz w:val="20"/>
                <w:szCs w:val="20"/>
              </w:rPr>
              <w:t xml:space="preserve">Phase</w:t>
            </w:r>
          </w:p>
        </w:tc>
        <w:tc>
          <w:tcPr>
            <w:tcW w:type="dxa" w:w="1800"/>
            <w:shd w:fill="0B1F3A" w:val="clear"/>
            <w:tcMar>
              <w:top w:type="dxa" w:w="120"/>
              <w:left w:type="dxa" w:w="140"/>
              <w:bottom w:type="dxa" w:w="120"/>
              <w:right w:type="dxa" w:w="140"/>
            </w:tcMar>
            <w:vAlign w:val="center"/>
          </w:tcPr>
          <w:p>
            <w:r>
              <w:rPr>
                <w:b/>
                <w:bCs/>
                <w:color w:val="FFFFFF"/>
                <w:sz w:val="20"/>
                <w:szCs w:val="20"/>
              </w:rPr>
              <w:t xml:space="preserve">Focus</w:t>
            </w:r>
          </w:p>
        </w:tc>
        <w:tc>
          <w:tcPr>
            <w:tcW w:type="dxa" w:w="5150"/>
            <w:shd w:fill="0B1F3A" w:val="clear"/>
            <w:tcMar>
              <w:top w:type="dxa" w:w="120"/>
              <w:left w:type="dxa" w:w="140"/>
              <w:bottom w:type="dxa" w:w="120"/>
              <w:right w:type="dxa" w:w="140"/>
            </w:tcMar>
            <w:vAlign w:val="center"/>
          </w:tcPr>
          <w:p>
            <w:r>
              <w:rPr>
                <w:b/>
                <w:bCs/>
                <w:color w:val="FFFFFF"/>
                <w:sz w:val="20"/>
                <w:szCs w:val="20"/>
              </w:rPr>
              <w:t xml:space="preserve">Sample Topics</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1. Foundations</w:t>
            </w:r>
          </w:p>
        </w:tc>
        <w:tc>
          <w:tcPr>
            <w:tcW w:type="dxa" w:w="1800"/>
            <w:shd w:fill="FFFFFF" w:val="clear"/>
            <w:tcMar>
              <w:top w:type="dxa" w:w="110"/>
              <w:left w:type="dxa" w:w="140"/>
              <w:bottom w:type="dxa" w:w="110"/>
              <w:right w:type="dxa" w:w="140"/>
            </w:tcMar>
            <w:vAlign w:val="center"/>
          </w:tcPr>
          <w:p>
            <w:r>
              <w:rPr>
                <w:color w:val="222222"/>
                <w:sz w:val="20"/>
                <w:szCs w:val="20"/>
              </w:rPr>
              <w:t xml:space="preserve">Days 1-6</w:t>
            </w:r>
          </w:p>
        </w:tc>
        <w:tc>
          <w:tcPr>
            <w:tcW w:type="dxa" w:w="5150"/>
            <w:shd w:fill="FFFFFF" w:val="clear"/>
            <w:tcMar>
              <w:top w:type="dxa" w:w="110"/>
              <w:left w:type="dxa" w:w="140"/>
              <w:bottom w:type="dxa" w:w="110"/>
              <w:right w:type="dxa" w:w="140"/>
            </w:tcMar>
            <w:vAlign w:val="center"/>
          </w:tcPr>
          <w:p>
            <w:r>
              <w:rPr>
                <w:color w:val="222222"/>
                <w:sz w:val="20"/>
                <w:szCs w:val="20"/>
              </w:rPr>
              <w:t xml:space="preserve">Architecture, Control vs Compute Plane, Clusters, DBU Pricing</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2. Delta Lake</w:t>
            </w:r>
          </w:p>
        </w:tc>
        <w:tc>
          <w:tcPr>
            <w:tcW w:type="dxa" w:w="1800"/>
            <w:shd w:fill="F2F2F2" w:val="clear"/>
            <w:tcMar>
              <w:top w:type="dxa" w:w="110"/>
              <w:left w:type="dxa" w:w="140"/>
              <w:bottom w:type="dxa" w:w="110"/>
              <w:right w:type="dxa" w:w="140"/>
            </w:tcMar>
            <w:vAlign w:val="center"/>
          </w:tcPr>
          <w:p>
            <w:r>
              <w:rPr>
                <w:color w:val="222222"/>
                <w:sz w:val="20"/>
                <w:szCs w:val="20"/>
              </w:rPr>
              <w:t xml:space="preserve">Days 7-13</w:t>
            </w:r>
          </w:p>
        </w:tc>
        <w:tc>
          <w:tcPr>
            <w:tcW w:type="dxa" w:w="5150"/>
            <w:shd w:fill="F2F2F2" w:val="clear"/>
            <w:tcMar>
              <w:top w:type="dxa" w:w="110"/>
              <w:left w:type="dxa" w:w="140"/>
              <w:bottom w:type="dxa" w:w="110"/>
              <w:right w:type="dxa" w:w="140"/>
            </w:tcMar>
            <w:vAlign w:val="center"/>
          </w:tcPr>
          <w:p>
            <w:r>
              <w:rPr>
                <w:color w:val="222222"/>
                <w:sz w:val="20"/>
                <w:szCs w:val="20"/>
              </w:rPr>
              <w:t xml:space="preserve">ACID Transactions, Time Travel, Z-Ordering, Vacuum</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3. Governance &amp; Orchestration</w:t>
            </w:r>
          </w:p>
        </w:tc>
        <w:tc>
          <w:tcPr>
            <w:tcW w:type="dxa" w:w="1800"/>
            <w:shd w:fill="FFFFFF" w:val="clear"/>
            <w:tcMar>
              <w:top w:type="dxa" w:w="110"/>
              <w:left w:type="dxa" w:w="140"/>
              <w:bottom w:type="dxa" w:w="110"/>
              <w:right w:type="dxa" w:w="140"/>
            </w:tcMar>
            <w:vAlign w:val="center"/>
          </w:tcPr>
          <w:p>
            <w:r>
              <w:rPr>
                <w:color w:val="222222"/>
                <w:sz w:val="20"/>
                <w:szCs w:val="20"/>
              </w:rPr>
              <w:t xml:space="preserve">Days 14-20</w:t>
            </w:r>
          </w:p>
        </w:tc>
        <w:tc>
          <w:tcPr>
            <w:tcW w:type="dxa" w:w="5150"/>
            <w:shd w:fill="FFFFFF" w:val="clear"/>
            <w:tcMar>
              <w:top w:type="dxa" w:w="110"/>
              <w:left w:type="dxa" w:w="140"/>
              <w:bottom w:type="dxa" w:w="110"/>
              <w:right w:type="dxa" w:w="140"/>
            </w:tcMar>
            <w:vAlign w:val="center"/>
          </w:tcPr>
          <w:p>
            <w:r>
              <w:rPr>
                <w:color w:val="222222"/>
                <w:sz w:val="20"/>
                <w:szCs w:val="20"/>
              </w:rPr>
              <w:t xml:space="preserve">Unity Catalog, Medallion Architecture, Workflows, CI/CD</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4. Streaming &amp; Advanced Engineering</w:t>
            </w:r>
          </w:p>
        </w:tc>
        <w:tc>
          <w:tcPr>
            <w:tcW w:type="dxa" w:w="1800"/>
            <w:shd w:fill="F2F2F2" w:val="clear"/>
            <w:tcMar>
              <w:top w:type="dxa" w:w="110"/>
              <w:left w:type="dxa" w:w="140"/>
              <w:bottom w:type="dxa" w:w="110"/>
              <w:right w:type="dxa" w:w="140"/>
            </w:tcMar>
            <w:vAlign w:val="center"/>
          </w:tcPr>
          <w:p>
            <w:r>
              <w:rPr>
                <w:color w:val="222222"/>
                <w:sz w:val="20"/>
                <w:szCs w:val="20"/>
              </w:rPr>
              <w:t xml:space="preserve">Days 21-26</w:t>
            </w:r>
          </w:p>
        </w:tc>
        <w:tc>
          <w:tcPr>
            <w:tcW w:type="dxa" w:w="5150"/>
            <w:shd w:fill="F2F2F2" w:val="clear"/>
            <w:tcMar>
              <w:top w:type="dxa" w:w="110"/>
              <w:left w:type="dxa" w:w="140"/>
              <w:bottom w:type="dxa" w:w="110"/>
              <w:right w:type="dxa" w:w="140"/>
            </w:tcMar>
            <w:vAlign w:val="center"/>
          </w:tcPr>
          <w:p>
            <w:r>
              <w:rPr>
                <w:color w:val="222222"/>
                <w:sz w:val="20"/>
                <w:szCs w:val="20"/>
              </w:rPr>
              <w:t xml:space="preserve">Structured Streaming, Autoloader, DLT, Photon</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5. Real-World &amp; ML</w:t>
            </w:r>
          </w:p>
        </w:tc>
        <w:tc>
          <w:tcPr>
            <w:tcW w:type="dxa" w:w="1800"/>
            <w:shd w:fill="FFFFFF" w:val="clear"/>
            <w:tcMar>
              <w:top w:type="dxa" w:w="110"/>
              <w:left w:type="dxa" w:w="140"/>
              <w:bottom w:type="dxa" w:w="110"/>
              <w:right w:type="dxa" w:w="140"/>
            </w:tcMar>
            <w:vAlign w:val="center"/>
          </w:tcPr>
          <w:p>
            <w:r>
              <w:rPr>
                <w:color w:val="222222"/>
                <w:sz w:val="20"/>
                <w:szCs w:val="20"/>
              </w:rPr>
              <w:t xml:space="preserve">Days 27-30</w:t>
            </w:r>
          </w:p>
        </w:tc>
        <w:tc>
          <w:tcPr>
            <w:tcW w:type="dxa" w:w="5150"/>
            <w:shd w:fill="FFFFFF" w:val="clear"/>
            <w:tcMar>
              <w:top w:type="dxa" w:w="110"/>
              <w:left w:type="dxa" w:w="140"/>
              <w:bottom w:type="dxa" w:w="110"/>
              <w:right w:type="dxa" w:w="140"/>
            </w:tcMar>
            <w:vAlign w:val="center"/>
          </w:tcPr>
          <w:p>
            <w:r>
              <w:rPr>
                <w:color w:val="222222"/>
                <w:sz w:val="20"/>
                <w:szCs w:val="20"/>
              </w:rPr>
              <w:t xml:space="preserve">MLflow, Databricks vs Snowflake, End-to-End Case Study</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rFonts w:ascii="Calibri" w:cs="Calibri" w:eastAsia="Calibri" w:hAnsi="Calibri"/>
                <w:b/>
                <w:bCs/>
                <w:color w:val="FFFFFF"/>
                <w:sz w:val="32"/>
                <w:szCs w:val="32"/>
              </w:rPr>
              <w:t xml:space="preserve">Glossary — Day 1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Lakehouse</w:t>
            </w:r>
          </w:p>
        </w:tc>
        <w:tc>
          <w:tcPr>
            <w:tcW w:type="dxa" w:w="6750"/>
            <w:shd w:fill="FFFFFF" w:val="clear"/>
            <w:tcMar>
              <w:top w:type="dxa" w:w="110"/>
              <w:left w:type="dxa" w:w="140"/>
              <w:bottom w:type="dxa" w:w="110"/>
              <w:right w:type="dxa" w:w="140"/>
            </w:tcMar>
            <w:vAlign w:val="center"/>
          </w:tcPr>
          <w:p>
            <w:r>
              <w:rPr>
                <w:color w:val="222222"/>
                <w:sz w:val="20"/>
                <w:szCs w:val="20"/>
              </w:rPr>
              <w:t xml:space="preserve">An architecture combining data lake flexibility with data warehouse reliability and structure.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Delta Lake</w:t>
            </w:r>
          </w:p>
        </w:tc>
        <w:tc>
          <w:tcPr>
            <w:tcW w:type="dxa" w:w="6750"/>
            <w:shd w:fill="F2F2F2" w:val="clear"/>
            <w:tcMar>
              <w:top w:type="dxa" w:w="110"/>
              <w:left w:type="dxa" w:w="140"/>
              <w:bottom w:type="dxa" w:w="110"/>
              <w:right w:type="dxa" w:w="140"/>
            </w:tcMar>
            <w:vAlign w:val="center"/>
          </w:tcPr>
          <w:p>
            <w:r>
              <w:rPr>
                <w:color w:val="222222"/>
                <w:sz w:val="20"/>
                <w:szCs w:val="20"/>
              </w:rPr>
              <w:t xml:space="preserve">An open-source storage layer that brings ACID transactions and reliability to data lake files.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Cloud Object Storage</w:t>
            </w:r>
          </w:p>
        </w:tc>
        <w:tc>
          <w:tcPr>
            <w:tcW w:type="dxa" w:w="6750"/>
            <w:shd w:fill="FFFFFF" w:val="clear"/>
            <w:tcMar>
              <w:top w:type="dxa" w:w="110"/>
              <w:left w:type="dxa" w:w="140"/>
              <w:bottom w:type="dxa" w:w="110"/>
              <w:right w:type="dxa" w:w="140"/>
            </w:tcMar>
            <w:vAlign w:val="center"/>
          </w:tcPr>
          <w:p>
            <w:r>
              <w:rPr>
                <w:color w:val="222222"/>
                <w:sz w:val="20"/>
                <w:szCs w:val="20"/>
              </w:rPr>
              <w:t xml:space="preserve">Storage services like AWS S3, Azure ADLS, or GCS where the actual data files physically reside.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Control Plane</w:t>
            </w:r>
          </w:p>
        </w:tc>
        <w:tc>
          <w:tcPr>
            <w:tcW w:type="dxa" w:w="6750"/>
            <w:shd w:fill="F2F2F2" w:val="clear"/>
            <w:tcMar>
              <w:top w:type="dxa" w:w="110"/>
              <w:left w:type="dxa" w:w="140"/>
              <w:bottom w:type="dxa" w:w="110"/>
              <w:right w:type="dxa" w:w="140"/>
            </w:tcMar>
            <w:vAlign w:val="center"/>
          </w:tcPr>
          <w:p>
            <w:r>
              <w:rPr>
                <w:color w:val="222222"/>
                <w:sz w:val="20"/>
                <w:szCs w:val="20"/>
              </w:rPr>
              <w:t xml:space="preserve">The Databricks-managed backend (web app, job scheduling metadata) that lives in the Databricks account.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Compute Plane</w:t>
            </w:r>
          </w:p>
        </w:tc>
        <w:tc>
          <w:tcPr>
            <w:tcW w:type="dxa" w:w="6750"/>
            <w:shd w:fill="FFFFFF" w:val="clear"/>
            <w:tcMar>
              <w:top w:type="dxa" w:w="110"/>
              <w:left w:type="dxa" w:w="140"/>
              <w:bottom w:type="dxa" w:w="110"/>
              <w:right w:type="dxa" w:w="140"/>
            </w:tcMar>
            <w:vAlign w:val="center"/>
          </w:tcPr>
          <w:p>
            <w:r>
              <w:rPr>
                <w:color w:val="222222"/>
                <w:sz w:val="20"/>
                <w:szCs w:val="20"/>
              </w:rPr>
              <w:t xml:space="preserve">Where actual data processing happens, typically inside your own cloud account.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rFonts w:ascii="Calibri" w:cs="Calibri" w:eastAsia="Calibri" w:hAnsi="Calibri"/>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Does Databricks store your data?</w:t>
      </w:r>
    </w:p>
    <w:p>
      <w:pPr>
        <w:spacing w:after="80"/>
      </w:pPr>
      <w:r>
        <w:rPr>
          <w:b/>
          <w:bCs/>
          <w:color w:val="16305C"/>
          <w:sz w:val="21"/>
          <w:szCs w:val="21"/>
        </w:rPr>
        <w:t xml:space="preserve">A. </w:t>
      </w:r>
      <w:r>
        <w:rPr>
          <w:color w:val="333333"/>
          <w:sz w:val="21"/>
          <w:szCs w:val="21"/>
        </w:rPr>
        <w:t xml:space="preserve">No. Databricks is a compute and governance layer. Your actual data resides in your cloud object storage, such as S3, ADLS, or GCS. Databricks processes and governs that data without owning the underlying files.</w:t>
      </w:r>
    </w:p>
    <w:p>
      <w:pPr>
        <w:spacing w:after="60" w:before="180"/>
      </w:pPr>
      <w:r>
        <w:rPr>
          <w:b/>
          <w:bCs/>
          <w:color w:val="C8102E"/>
          <w:sz w:val="22"/>
          <w:szCs w:val="22"/>
        </w:rPr>
        <w:t xml:space="preserve">Q2. </w:t>
      </w:r>
      <w:r>
        <w:rPr>
          <w:b/>
          <w:bCs/>
          <w:color w:val="1A1A1A"/>
          <w:sz w:val="22"/>
          <w:szCs w:val="22"/>
        </w:rPr>
        <w:t xml:space="preserve">What problem does the Lakehouse architecture solve?</w:t>
      </w:r>
    </w:p>
    <w:p>
      <w:pPr>
        <w:spacing w:after="80"/>
      </w:pPr>
      <w:r>
        <w:rPr>
          <w:b/>
          <w:bCs/>
          <w:color w:val="16305C"/>
          <w:sz w:val="21"/>
          <w:szCs w:val="21"/>
        </w:rPr>
        <w:t xml:space="preserve">A. </w:t>
      </w:r>
      <w:r>
        <w:rPr>
          <w:color w:val="333333"/>
          <w:sz w:val="21"/>
          <w:szCs w:val="21"/>
        </w:rPr>
        <w:t xml:space="preserve">It removes the need to choose between a data lake and a data warehouse by combining the low-cost flexibility of a lake with the ACID reliability and performance of a warehouse, using Delta Lake as the storage format.</w:t>
      </w:r>
    </w:p>
    <w:p>
      <w:pPr>
        <w:spacing w:after="60" w:before="180"/>
      </w:pPr>
      <w:r>
        <w:rPr>
          <w:b/>
          <w:bCs/>
          <w:color w:val="C8102E"/>
          <w:sz w:val="22"/>
          <w:szCs w:val="22"/>
        </w:rPr>
        <w:t xml:space="preserve">Q3. </w:t>
      </w:r>
      <w:r>
        <w:rPr>
          <w:b/>
          <w:bCs/>
          <w:color w:val="1A1A1A"/>
          <w:sz w:val="22"/>
          <w:szCs w:val="22"/>
        </w:rPr>
        <w:t xml:space="preserve">What is Delta Lake, in one line?</w:t>
      </w:r>
    </w:p>
    <w:p>
      <w:pPr>
        <w:spacing w:after="80"/>
      </w:pPr>
      <w:r>
        <w:rPr>
          <w:b/>
          <w:bCs/>
          <w:color w:val="16305C"/>
          <w:sz w:val="21"/>
          <w:szCs w:val="21"/>
        </w:rPr>
        <w:t xml:space="preserve">A. </w:t>
      </w:r>
      <w:r>
        <w:rPr>
          <w:color w:val="333333"/>
          <w:sz w:val="21"/>
          <w:szCs w:val="21"/>
        </w:rPr>
        <w:t xml:space="preserve">An open-source storage layer built on top of Parquet files that adds ACID transactions, schema enforcement, and time travel to data lake storage.</w:t>
      </w:r>
    </w:p>
    <w:p>
      <w:pPr>
        <w:spacing w:after="60" w:before="180"/>
      </w:pPr>
      <w:r>
        <w:rPr>
          <w:b/>
          <w:bCs/>
          <w:color w:val="C8102E"/>
          <w:sz w:val="22"/>
          <w:szCs w:val="22"/>
        </w:rPr>
        <w:t xml:space="preserve">Q4. </w:t>
      </w:r>
      <w:r>
        <w:rPr>
          <w:b/>
          <w:bCs/>
          <w:color w:val="1A1A1A"/>
          <w:sz w:val="22"/>
          <w:szCs w:val="22"/>
        </w:rPr>
        <w:t xml:space="preserve">Is Databricks the same as Apache Spark?</w:t>
      </w:r>
    </w:p>
    <w:p>
      <w:pPr>
        <w:spacing w:after="80"/>
      </w:pPr>
      <w:r>
        <w:rPr>
          <w:b/>
          <w:bCs/>
          <w:color w:val="16305C"/>
          <w:sz w:val="21"/>
          <w:szCs w:val="21"/>
        </w:rPr>
        <w:t xml:space="preserve">A. </w:t>
      </w:r>
      <w:r>
        <w:rPr>
          <w:color w:val="333333"/>
          <w:sz w:val="21"/>
          <w:szCs w:val="21"/>
        </w:rPr>
        <w:t xml:space="preserve">No. Databricks is a managed platform built primarily on top of Apache Spark, adding a unified workspace, governance, orchestration, and performance optimizations like the Photon engine.</w:t>
      </w:r>
    </w:p>
    <w:p>
      <w:pPr>
        <w:spacing w:after="60" w:before="180"/>
      </w:pPr>
      <w:r>
        <w:rPr>
          <w:b/>
          <w:bCs/>
          <w:color w:val="C8102E"/>
          <w:sz w:val="22"/>
          <w:szCs w:val="22"/>
        </w:rPr>
        <w:t xml:space="preserve">Q5. </w:t>
      </w:r>
      <w:r>
        <w:rPr>
          <w:b/>
          <w:bCs/>
          <w:color w:val="1A1A1A"/>
          <w:sz w:val="22"/>
          <w:szCs w:val="22"/>
        </w:rPr>
        <w:t xml:space="preserve">Why are companies moving to a Lakehouse model instead of maintaining separate lakes and warehouses?</w:t>
      </w:r>
    </w:p>
    <w:p>
      <w:pPr>
        <w:spacing w:after="80"/>
      </w:pPr>
      <w:r>
        <w:rPr>
          <w:b/>
          <w:bCs/>
          <w:color w:val="16305C"/>
          <w:sz w:val="21"/>
          <w:szCs w:val="21"/>
        </w:rPr>
        <w:t xml:space="preserve">A. </w:t>
      </w:r>
      <w:r>
        <w:rPr>
          <w:color w:val="333333"/>
          <w:sz w:val="21"/>
          <w:szCs w:val="21"/>
        </w:rPr>
        <w:t xml:space="preserve">Maintaining two systems duplicates data, increases cost, and creates consistency issues between the raw and curated layers. A Lakehouse consolidates both needs into a single governed platform.</w:t>
      </w:r>
    </w:p>
    <w:p>
      <w:pPr>
        <w:spacing w:after="60" w:before="180"/>
      </w:pPr>
      <w:r>
        <w:rPr>
          <w:b/>
          <w:bCs/>
          <w:color w:val="C8102E"/>
          <w:sz w:val="22"/>
          <w:szCs w:val="22"/>
        </w:rPr>
        <w:t xml:space="preserve">Q6. </w:t>
      </w:r>
      <w:r>
        <w:rPr>
          <w:b/>
          <w:bCs/>
          <w:color w:val="1A1A1A"/>
          <w:sz w:val="22"/>
          <w:szCs w:val="22"/>
        </w:rPr>
        <w:t xml:space="preserve">What are the two planes in Databricks' architecture at a high level?</w:t>
      </w:r>
    </w:p>
    <w:p>
      <w:pPr>
        <w:spacing w:after="80"/>
      </w:pPr>
      <w:r>
        <w:rPr>
          <w:b/>
          <w:bCs/>
          <w:color w:val="16305C"/>
          <w:sz w:val="21"/>
          <w:szCs w:val="21"/>
        </w:rPr>
        <w:t xml:space="preserve">A. </w:t>
      </w:r>
      <w:r>
        <w:rPr>
          <w:color w:val="333333"/>
          <w:sz w:val="21"/>
          <w:szCs w:val="21"/>
        </w:rPr>
        <w:t xml:space="preserve">The Control Plane, managed by Databricks and containing the web application and job metadata, and the Compute Plane, where your actual data processing occurs, typically within your own cloud account.</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2026-07-26T16:05:27.404Z</dcterms:created>
  <dcterms:modified xsi:type="dcterms:W3CDTF">2026-07-26T16:05:27.417Z</dcterms:modified>
</cp:coreProperties>
</file>

<file path=docProps/custom.xml><?xml version="1.0" encoding="utf-8"?>
<Properties xmlns="http://schemas.openxmlformats.org/officeDocument/2006/custom-properties" xmlns:vt="http://schemas.openxmlformats.org/officeDocument/2006/docPropsVTypes"/>
</file>