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jc w:val="center"/>
      </w:pPr>
      <w:r>
        <w:rPr>
          <w:rFonts w:ascii="Consolas" w:cs="Consolas" w:eastAsia="Consolas" w:hAnsi="Consolas"/>
          <w:b/>
          <w:bCs/>
          <w:color w:val="C8102E"/>
          <w:sz w:val="24"/>
          <w:szCs w:val="24"/>
        </w:rPr>
        <w:t xml:space="preserve">THE DATA ENGINEER LAB</w:t>
      </w:r>
    </w:p>
    <w:p>
      <w:pPr>
        <w:spacing w:after="100" w:before="200"/>
        <w:jc w:val="center"/>
      </w:pPr>
      <w:r>
        <w:rPr>
          <w:b/>
          <w:bCs/>
          <w:color w:val="0B1F3A"/>
          <w:sz w:val="48"/>
          <w:szCs w:val="48"/>
        </w:rPr>
        <w:t xml:space="preserve">DATABRICKS FROM ZERO TO HERO</w:t>
      </w:r>
    </w:p>
    <w:p>
      <w:pPr>
        <w:spacing w:after="400"/>
        <w:jc w:val="center"/>
      </w:pPr>
      <w:r>
        <w:rPr>
          <w:i/>
          <w:iCs/>
          <w:color w:val="444444"/>
          <w:sz w:val="26"/>
          <w:szCs w:val="26"/>
        </w:rPr>
        <w:t xml:space="preserve">A 30-Day Interview &amp; Career Readiness Series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60"/>
              <w:left w:type="dxa" w:w="300"/>
              <w:bottom w:type="dxa" w:w="260"/>
              <w:right w:type="dxa" w:w="300"/>
            </w:tcMar>
          </w:tcPr>
          <w:p>
            <w:pPr>
              <w:jc w:val="center"/>
            </w:pPr>
            <w:r>
              <w:rPr>
                <w:rFonts w:ascii="Consolas" w:cs="Consolas" w:eastAsia="Consolas" w:hAnsi="Consolas"/>
                <w:b/>
                <w:bCs/>
                <w:color w:val="C8102E"/>
                <w:sz w:val="30"/>
                <w:szCs w:val="30"/>
              </w:rPr>
              <w:t xml:space="preserve">DAY 3</w:t>
            </w:r>
          </w:p>
          <w:p>
            <w:pPr>
              <w:spacing w:before="80"/>
              <w:jc w:val="center"/>
            </w:pPr>
            <w:r>
              <w:rPr>
                <w:b/>
                <w:bCs/>
                <w:color w:val="FFFFFF"/>
                <w:sz w:val="26"/>
                <w:szCs w:val="26"/>
              </w:rPr>
              <w:t xml:space="preserve">Databricks Workspace, Notebooks &amp; Clusters — The Complete Guide</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01</w:t>
            </w:r>
          </w:p>
          <w:p>
            <w:r>
              <w:rPr>
                <w:b/>
                <w:bCs/>
                <w:color w:val="FFFFFF"/>
                <w:sz w:val="32"/>
                <w:szCs w:val="32"/>
              </w:rPr>
              <w:t xml:space="preserve">The Workspace — Your Home Base</w:t>
            </w:r>
          </w:p>
        </w:tc>
      </w:tr>
    </w:tbl>
    <w:p>
      <w:pPr>
        <w:spacing w:after="160"/>
      </w:pPr>
      <w:r>
        <w:t xml:space="preserve"/>
      </w:r>
    </w:p>
    <w:p>
      <w:pPr>
        <w:spacing w:after="160"/>
      </w:pPr>
      <w:r>
        <w:rPr>
          <w:color w:val="222222"/>
          <w:sz w:val="22"/>
          <w:szCs w:val="22"/>
        </w:rPr>
        <w:t xml:space="preserve">The Workspace is the top-level environment in Databricks where all your assets live: notebooks, folders, libraries, dashboards, and experiments. Think of it as the organizational container for everything your team builds.</w:t>
      </w:r>
    </w:p>
    <w:p>
      <w:pPr>
        <w:spacing w:after="120" w:before="220"/>
      </w:pPr>
      <w:r>
        <w:rPr>
          <w:b/>
          <w:bCs/>
          <w:color w:val="16305C"/>
          <w:sz w:val="25"/>
          <w:szCs w:val="25"/>
        </w:rPr>
        <w:t xml:space="preserve">What Lives Inside a Workspace</w:t>
      </w:r>
    </w:p>
    <w:p>
      <w:pPr>
        <w:pStyle w:val="ListParagraph"/>
        <w:numPr>
          <w:ilvl w:val="0"/>
          <w:numId w:val="1"/>
        </w:numPr>
        <w:spacing w:after="90"/>
      </w:pPr>
      <w:r>
        <w:rPr>
          <w:color w:val="222222"/>
          <w:sz w:val="22"/>
          <w:szCs w:val="22"/>
        </w:rPr>
        <w:t xml:space="preserve">Folders and notebooks, organized per user, per team, or per project.</w:t>
      </w:r>
    </w:p>
    <w:p>
      <w:pPr>
        <w:pStyle w:val="ListParagraph"/>
        <w:numPr>
          <w:ilvl w:val="0"/>
          <w:numId w:val="1"/>
        </w:numPr>
        <w:spacing w:after="90"/>
      </w:pPr>
      <w:r>
        <w:rPr>
          <w:color w:val="222222"/>
          <w:sz w:val="22"/>
          <w:szCs w:val="22"/>
        </w:rPr>
        <w:t xml:space="preserve">Repos, which connect the workspace to Git providers like GitHub or Azure DevOps for version control.</w:t>
      </w:r>
    </w:p>
    <w:p>
      <w:pPr>
        <w:pStyle w:val="ListParagraph"/>
        <w:numPr>
          <w:ilvl w:val="0"/>
          <w:numId w:val="1"/>
        </w:numPr>
        <w:spacing w:after="90"/>
      </w:pPr>
      <w:r>
        <w:rPr>
          <w:color w:val="222222"/>
          <w:sz w:val="22"/>
          <w:szCs w:val="22"/>
        </w:rPr>
        <w:t xml:space="preserve">Workspace-level permissions, controlling who can view, edit, or run specific assets.</w:t>
      </w:r>
    </w:p>
    <w:p>
      <w:pPr>
        <w:pStyle w:val="ListParagraph"/>
        <w:numPr>
          <w:ilvl w:val="0"/>
          <w:numId w:val="1"/>
        </w:numPr>
        <w:spacing w:after="90"/>
      </w:pPr>
      <w:r>
        <w:rPr>
          <w:color w:val="222222"/>
          <w:sz w:val="22"/>
          <w:szCs w:val="22"/>
        </w:rPr>
        <w:t xml:space="preserve">Shared resources such as clusters, jobs, and dashboards that a whole team can access.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D6FCC" w:sz="12"/>
              <w:left w:val="single" w:color="1D6FCC" w:sz="24"/>
              <w:bottom w:val="single" w:color="1D6FCC" w:sz="12"/>
              <w:right w:val="single" w:color="1D6FCC" w:sz="12"/>
            </w:tcBorders>
            <w:shd w:fill="DCEBFC" w:val="clear"/>
            <w:tcMar>
              <w:top w:type="dxa" w:w="160"/>
              <w:left w:type="dxa" w:w="220"/>
              <w:bottom w:type="dxa" w:w="160"/>
              <w:right w:type="dxa" w:w="220"/>
            </w:tcMar>
          </w:tcPr>
          <w:p>
            <w:pPr>
              <w:spacing w:after="60"/>
            </w:pPr>
            <w:r>
              <w:rPr>
                <w:b/>
                <w:bCs/>
                <w:color w:val="1A1A1A"/>
                <w:sz w:val="20"/>
                <w:szCs w:val="20"/>
              </w:rPr>
              <w:t xml:space="preserve">CORE CONCEPT</w:t>
            </w:r>
          </w:p>
          <w:p>
            <w:r>
              <w:rPr>
                <w:color w:val="1A1A1A"/>
                <w:sz w:val="21"/>
                <w:szCs w:val="21"/>
              </w:rPr>
              <w:t xml:space="preserve">A Databricks Workspace is not a compute resource itself. It is an organizational and access-control layer sitting in the Control Plane. The actual work happens once a notebook is attached to a cluster.</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02</w:t>
            </w:r>
          </w:p>
          <w:p>
            <w:r>
              <w:rPr>
                <w:b/>
                <w:bCs/>
                <w:color w:val="FFFFFF"/>
                <w:sz w:val="32"/>
                <w:szCs w:val="32"/>
              </w:rPr>
              <w:t xml:space="preserve">Notebooks — Where You Write Code</w:t>
            </w:r>
          </w:p>
        </w:tc>
      </w:tr>
    </w:tbl>
    <w:p>
      <w:pPr>
        <w:spacing w:after="160"/>
      </w:pPr>
      <w:r>
        <w:t xml:space="preserve"/>
      </w:r>
    </w:p>
    <w:p>
      <w:pPr>
        <w:spacing w:after="160"/>
      </w:pPr>
      <w:r>
        <w:rPr>
          <w:color w:val="222222"/>
          <w:sz w:val="22"/>
          <w:szCs w:val="22"/>
        </w:rPr>
        <w:t xml:space="preserve">A notebook is an interactive, cell-based coding environment. Each cell can be run independently, and results appear directly below the cell, which makes notebooks ideal for exploration, debugging, and iterative development.</w:t>
      </w:r>
    </w:p>
    <w:p>
      <w:pPr>
        <w:spacing w:after="120" w:before="220"/>
      </w:pPr>
      <w:r>
        <w:rPr>
          <w:b/>
          <w:bCs/>
          <w:color w:val="16305C"/>
          <w:sz w:val="25"/>
          <w:szCs w:val="25"/>
        </w:rPr>
        <w:t xml:space="preserve">Multi-Language Support</w:t>
      </w:r>
    </w:p>
    <w:p>
      <w:pPr>
        <w:spacing w:after="160"/>
      </w:pPr>
      <w:r>
        <w:rPr>
          <w:color w:val="222222"/>
          <w:sz w:val="22"/>
          <w:szCs w:val="22"/>
        </w:rPr>
        <w:t xml:space="preserve">Databricks Notebooks support Python, SQL, Scala, and R within the same notebook. The default language is set when the notebook is created, but any individual cell can override it using a magic command at the top of the cell.</w:t>
      </w:r>
    </w:p>
    <w:p>
      <w:pPr>
        <w:spacing w:after="120" w:before="220"/>
      </w:pPr>
      <w:r>
        <w:rPr>
          <w:b/>
          <w:bCs/>
          <w:color w:val="16305C"/>
          <w:sz w:val="25"/>
          <w:szCs w:val="25"/>
        </w:rPr>
        <w:t xml:space="preserve">Common Magic Commands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Magic Command</w:t>
            </w:r>
          </w:p>
        </w:tc>
        <w:tc>
          <w:tcPr>
            <w:tcW w:type="dxa" w:w="6750"/>
            <w:shd w:fill="0B1F3A" w:val="clear"/>
            <w:tcMar>
              <w:top w:type="dxa" w:w="120"/>
              <w:left w:type="dxa" w:w="140"/>
              <w:bottom w:type="dxa" w:w="120"/>
              <w:right w:type="dxa" w:w="140"/>
            </w:tcMar>
            <w:vAlign w:val="center"/>
          </w:tcPr>
          <w:p>
            <w:r>
              <w:rPr>
                <w:b/>
                <w:bCs/>
                <w:color w:val="FFFFFF"/>
                <w:sz w:val="20"/>
                <w:szCs w:val="20"/>
              </w:rPr>
              <w:t xml:space="preserve">What It Does</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%python</w:t>
            </w:r>
          </w:p>
        </w:tc>
        <w:tc>
          <w:tcPr>
            <w:tcW w:type="dxa" w:w="6750"/>
            <w:shd w:fill="FFFFFF" w:val="clear"/>
            <w:tcMar>
              <w:top w:type="dxa" w:w="110"/>
              <w:left w:type="dxa" w:w="140"/>
              <w:bottom w:type="dxa" w:w="110"/>
              <w:right w:type="dxa" w:w="140"/>
            </w:tcMar>
            <w:vAlign w:val="center"/>
          </w:tcPr>
          <w:p>
            <w:r>
              <w:rPr>
                <w:color w:val="222222"/>
                <w:sz w:val="20"/>
                <w:szCs w:val="20"/>
              </w:rPr>
              <w:t xml:space="preserve">Switches the current cell to Python, regardless of the notebook's default language.</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%sql</w:t>
            </w:r>
          </w:p>
        </w:tc>
        <w:tc>
          <w:tcPr>
            <w:tcW w:type="dxa" w:w="6750"/>
            <w:shd w:fill="F2F2F2" w:val="clear"/>
            <w:tcMar>
              <w:top w:type="dxa" w:w="110"/>
              <w:left w:type="dxa" w:w="140"/>
              <w:bottom w:type="dxa" w:w="110"/>
              <w:right w:type="dxa" w:w="140"/>
            </w:tcMar>
            <w:vAlign w:val="center"/>
          </w:tcPr>
          <w:p>
            <w:r>
              <w:rPr>
                <w:color w:val="222222"/>
                <w:sz w:val="20"/>
                <w:szCs w:val="20"/>
              </w:rPr>
              <w:t xml:space="preserve">Runs the cell contents as a SQL query.</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%scala</w:t>
            </w:r>
          </w:p>
        </w:tc>
        <w:tc>
          <w:tcPr>
            <w:tcW w:type="dxa" w:w="6750"/>
            <w:shd w:fill="FFFFFF" w:val="clear"/>
            <w:tcMar>
              <w:top w:type="dxa" w:w="110"/>
              <w:left w:type="dxa" w:w="140"/>
              <w:bottom w:type="dxa" w:w="110"/>
              <w:right w:type="dxa" w:w="140"/>
            </w:tcMar>
            <w:vAlign w:val="center"/>
          </w:tcPr>
          <w:p>
            <w:r>
              <w:rPr>
                <w:color w:val="222222"/>
                <w:sz w:val="20"/>
                <w:szCs w:val="20"/>
              </w:rPr>
              <w:t xml:space="preserve">Switches the current cell to Scala.</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%r</w:t>
            </w:r>
          </w:p>
        </w:tc>
        <w:tc>
          <w:tcPr>
            <w:tcW w:type="dxa" w:w="6750"/>
            <w:shd w:fill="F2F2F2" w:val="clear"/>
            <w:tcMar>
              <w:top w:type="dxa" w:w="110"/>
              <w:left w:type="dxa" w:w="140"/>
              <w:bottom w:type="dxa" w:w="110"/>
              <w:right w:type="dxa" w:w="140"/>
            </w:tcMar>
            <w:vAlign w:val="center"/>
          </w:tcPr>
          <w:p>
            <w:r>
              <w:rPr>
                <w:color w:val="222222"/>
                <w:sz w:val="20"/>
                <w:szCs w:val="20"/>
              </w:rPr>
              <w:t xml:space="preserve">Switches the current cell to R.</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%md</w:t>
            </w:r>
          </w:p>
        </w:tc>
        <w:tc>
          <w:tcPr>
            <w:tcW w:type="dxa" w:w="6750"/>
            <w:shd w:fill="FFFFFF" w:val="clear"/>
            <w:tcMar>
              <w:top w:type="dxa" w:w="110"/>
              <w:left w:type="dxa" w:w="140"/>
              <w:bottom w:type="dxa" w:w="110"/>
              <w:right w:type="dxa" w:w="140"/>
            </w:tcMar>
            <w:vAlign w:val="center"/>
          </w:tcPr>
          <w:p>
            <w:r>
              <w:rPr>
                <w:color w:val="222222"/>
                <w:sz w:val="20"/>
                <w:szCs w:val="20"/>
              </w:rPr>
              <w:t xml:space="preserve">Renders the cell as Markdown text, useful for documentation within the notebook.</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%fs</w:t>
            </w:r>
          </w:p>
        </w:tc>
        <w:tc>
          <w:tcPr>
            <w:tcW w:type="dxa" w:w="6750"/>
            <w:shd w:fill="F2F2F2" w:val="clear"/>
            <w:tcMar>
              <w:top w:type="dxa" w:w="110"/>
              <w:left w:type="dxa" w:w="140"/>
              <w:bottom w:type="dxa" w:w="110"/>
              <w:right w:type="dxa" w:w="140"/>
            </w:tcMar>
            <w:vAlign w:val="center"/>
          </w:tcPr>
          <w:p>
            <w:r>
              <w:rPr>
                <w:color w:val="222222"/>
                <w:sz w:val="20"/>
                <w:szCs w:val="20"/>
              </w:rPr>
              <w:t xml:space="preserve">Runs filesystem commands against the Databricks file system.</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%sh</w:t>
            </w:r>
          </w:p>
        </w:tc>
        <w:tc>
          <w:tcPr>
            <w:tcW w:type="dxa" w:w="6750"/>
            <w:shd w:fill="FFFFFF" w:val="clear"/>
            <w:tcMar>
              <w:top w:type="dxa" w:w="110"/>
              <w:left w:type="dxa" w:w="140"/>
              <w:bottom w:type="dxa" w:w="110"/>
              <w:right w:type="dxa" w:w="140"/>
            </w:tcMar>
            <w:vAlign w:val="center"/>
          </w:tcPr>
          <w:p>
            <w:r>
              <w:rPr>
                <w:color w:val="222222"/>
                <w:sz w:val="20"/>
                <w:szCs w:val="20"/>
              </w:rPr>
              <w:t xml:space="preserve">Executes shell commands directly on the cluster's driver node.</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%pip</w:t>
            </w:r>
          </w:p>
        </w:tc>
        <w:tc>
          <w:tcPr>
            <w:tcW w:type="dxa" w:w="6750"/>
            <w:shd w:fill="F2F2F2" w:val="clear"/>
            <w:tcMar>
              <w:top w:type="dxa" w:w="110"/>
              <w:left w:type="dxa" w:w="140"/>
              <w:bottom w:type="dxa" w:w="110"/>
              <w:right w:type="dxa" w:w="140"/>
            </w:tcMar>
            <w:vAlign w:val="center"/>
          </w:tcPr>
          <w:p>
            <w:r>
              <w:rPr>
                <w:color w:val="222222"/>
                <w:sz w:val="20"/>
                <w:szCs w:val="20"/>
              </w:rPr>
              <w:t xml:space="preserve">Installs Python packages scoped to the current notebook session.</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 Example: mixing languages in one notebook</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%python</w:t>
            </w:r>
          </w:p>
          <w:p>
            <w:pPr>
              <w:spacing w:after="20"/>
            </w:pPr>
            <w:r>
              <w:rPr>
                <w:rFonts w:ascii="Consolas" w:cs="Consolas" w:eastAsia="Consolas" w:hAnsi="Consolas"/>
                <w:color w:val="E8E8E8"/>
                <w:sz w:val="19"/>
                <w:szCs w:val="19"/>
              </w:rPr>
              <w:t xml:space="preserve">df = spark.read.table("sales.transactions")</w:t>
            </w:r>
          </w:p>
          <w:p>
            <w:pPr>
              <w:spacing w:after="20"/>
            </w:pPr>
            <w:r>
              <w:rPr>
                <w:rFonts w:ascii="Consolas" w:cs="Consolas" w:eastAsia="Consolas" w:hAnsi="Consolas"/>
                <w:color w:val="E8E8E8"/>
                <w:sz w:val="19"/>
                <w:szCs w:val="19"/>
              </w:rPr>
              <w:t xml:space="preserve">df.createOrReplaceTempView("transactions_view")</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%sql</w:t>
            </w:r>
          </w:p>
          <w:p>
            <w:pPr>
              <w:spacing w:after="20"/>
            </w:pPr>
            <w:r>
              <w:rPr>
                <w:rFonts w:ascii="Consolas" w:cs="Consolas" w:eastAsia="Consolas" w:hAnsi="Consolas"/>
                <w:color w:val="E8E8E8"/>
                <w:sz w:val="19"/>
                <w:szCs w:val="19"/>
              </w:rPr>
              <w:t xml:space="preserve">SELECT region, SUM(amount) AS total_sales</w:t>
            </w:r>
          </w:p>
          <w:p>
            <w:pPr>
              <w:spacing w:after="20"/>
            </w:pPr>
            <w:r>
              <w:rPr>
                <w:rFonts w:ascii="Consolas" w:cs="Consolas" w:eastAsia="Consolas" w:hAnsi="Consolas"/>
                <w:color w:val="E8E8E8"/>
                <w:sz w:val="19"/>
                <w:szCs w:val="19"/>
              </w:rPr>
              <w:t xml:space="preserve">FROM transactions_view</w:t>
            </w:r>
          </w:p>
          <w:p>
            <w:pPr>
              <w:spacing w:after="20"/>
            </w:pPr>
            <w:r>
              <w:rPr>
                <w:rFonts w:ascii="Consolas" w:cs="Consolas" w:eastAsia="Consolas" w:hAnsi="Consolas"/>
                <w:color w:val="E8E8E8"/>
                <w:sz w:val="19"/>
                <w:szCs w:val="19"/>
              </w:rPr>
              <w:t xml:space="preserve">GROUP BY region</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0A800" w:sz="12"/>
              <w:left w:val="single" w:color="E0A800" w:sz="24"/>
              <w:bottom w:val="single" w:color="E0A800" w:sz="12"/>
              <w:right w:val="single" w:color="E0A800" w:sz="12"/>
            </w:tcBorders>
            <w:shd w:fill="FFF4D6" w:val="clear"/>
            <w:tcMar>
              <w:top w:type="dxa" w:w="160"/>
              <w:left w:type="dxa" w:w="220"/>
              <w:bottom w:type="dxa" w:w="160"/>
              <w:right w:type="dxa" w:w="220"/>
            </w:tcMar>
          </w:tcPr>
          <w:p>
            <w:pPr>
              <w:spacing w:after="60"/>
            </w:pPr>
            <w:r>
              <w:rPr>
                <w:b/>
                <w:bCs/>
                <w:color w:val="1A1A1A"/>
                <w:sz w:val="20"/>
                <w:szCs w:val="20"/>
              </w:rPr>
              <w:t xml:space="preserve">GOOD PRACTICE</w:t>
            </w:r>
          </w:p>
          <w:p>
            <w:r>
              <w:rPr>
                <w:color w:val="1A1A1A"/>
                <w:sz w:val="21"/>
                <w:szCs w:val="21"/>
              </w:rPr>
              <w:t xml:space="preserve">Since clusters are ephemeral, any packages installed with %pip disappear once the cluster restarts. Teams typically track dependencies in a requirements file or cluster-scoped library configuration instead of relying on ad-hoc installs.</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03</w:t>
            </w:r>
          </w:p>
          <w:p>
            <w:r>
              <w:rPr>
                <w:b/>
                <w:bCs/>
                <w:color w:val="FFFFFF"/>
                <w:sz w:val="32"/>
                <w:szCs w:val="32"/>
              </w:rPr>
              <w:t xml:space="preserve">Clusters — Where Code Actually Runs</w:t>
            </w:r>
          </w:p>
        </w:tc>
      </w:tr>
    </w:tbl>
    <w:p>
      <w:pPr>
        <w:spacing w:after="160"/>
      </w:pPr>
      <w:r>
        <w:t xml:space="preserve"/>
      </w:r>
    </w:p>
    <w:p>
      <w:pPr>
        <w:spacing w:after="160"/>
      </w:pPr>
      <w:r>
        <w:rPr>
          <w:color w:val="222222"/>
          <w:sz w:val="22"/>
          <w:szCs w:val="22"/>
        </w:rPr>
        <w:t xml:space="preserve">A cluster is a set of computation resources and configurations Databricks provisions to run your notebooks and jobs. Every cluster has one driver node, and optionally one or more worker nodes, depending on the workload.</w:t>
      </w:r>
    </w:p>
    <w:p>
      <w:pPr>
        <w:spacing w:after="120" w:before="220"/>
      </w:pPr>
      <w:r>
        <w:rPr>
          <w:b/>
          <w:bCs/>
          <w:color w:val="16305C"/>
          <w:sz w:val="25"/>
          <w:szCs w:val="25"/>
        </w:rPr>
        <w:t xml:space="preserve">Driver Node vs Worker Nodes</w:t>
      </w:r>
    </w:p>
    <w:p>
      <w:pPr>
        <w:pStyle w:val="ListParagraph"/>
        <w:numPr>
          <w:ilvl w:val="0"/>
          <w:numId w:val="1"/>
        </w:numPr>
        <w:spacing w:after="90"/>
      </w:pPr>
      <w:r>
        <w:rPr>
          <w:color w:val="222222"/>
          <w:sz w:val="22"/>
          <w:szCs w:val="22"/>
        </w:rPr>
        <w:t xml:space="preserve">Driver node: coordinates the work, maintains the SparkContext, and collects final results.</w:t>
      </w:r>
    </w:p>
    <w:p>
      <w:pPr>
        <w:pStyle w:val="ListParagraph"/>
        <w:numPr>
          <w:ilvl w:val="0"/>
          <w:numId w:val="1"/>
        </w:numPr>
        <w:spacing w:after="90"/>
      </w:pPr>
      <w:r>
        <w:rPr>
          <w:color w:val="222222"/>
          <w:sz w:val="22"/>
          <w:szCs w:val="22"/>
        </w:rPr>
        <w:t xml:space="preserve">Worker nodes: execute the actual distributed tasks assigned by the driver.</w:t>
      </w:r>
    </w:p>
    <w:p>
      <w:pPr>
        <w:spacing w:after="120" w:before="220"/>
      </w:pPr>
      <w:r>
        <w:rPr>
          <w:b/>
          <w:bCs/>
          <w:color w:val="16305C"/>
          <w:sz w:val="25"/>
          <w:szCs w:val="25"/>
        </w:rPr>
        <w:t xml:space="preserve">Two Types of Clusters</w:t>
      </w:r>
    </w:p>
    <w:p>
      <w:pPr>
        <w:pStyle w:val="ListParagraph"/>
        <w:numPr>
          <w:ilvl w:val="0"/>
          <w:numId w:val="1"/>
        </w:numPr>
        <w:spacing w:after="90"/>
      </w:pPr>
      <w:r>
        <w:rPr>
          <w:color w:val="222222"/>
          <w:sz w:val="22"/>
          <w:szCs w:val="22"/>
        </w:rPr>
        <w:t xml:space="preserve">All-Purpose Clusters: created via the UI, CLI, or REST API, used for collaborative interactive analysis. They can be manually started, stopped, and restarted, and shared across multiple users.</w:t>
      </w:r>
    </w:p>
    <w:p>
      <w:pPr>
        <w:pStyle w:val="ListParagraph"/>
        <w:numPr>
          <w:ilvl w:val="0"/>
          <w:numId w:val="1"/>
        </w:numPr>
        <w:spacing w:after="90"/>
      </w:pPr>
      <w:r>
        <w:rPr>
          <w:color w:val="222222"/>
          <w:sz w:val="22"/>
          <w:szCs w:val="22"/>
        </w:rPr>
        <w:t xml:space="preserve">Job Clusters: created automatically by the Databricks job scheduler when a job runs, and terminated automatically once the job completes. They cannot be manually restarted.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9E4A" w:sz="12"/>
              <w:left w:val="single" w:color="2E9E4A" w:sz="24"/>
              <w:bottom w:val="single" w:color="2E9E4A" w:sz="12"/>
              <w:right w:val="single" w:color="2E9E4A" w:sz="12"/>
            </w:tcBorders>
            <w:shd w:fill="DFF6E3" w:val="clear"/>
            <w:tcMar>
              <w:top w:type="dxa" w:w="160"/>
              <w:left w:type="dxa" w:w="220"/>
              <w:bottom w:type="dxa" w:w="160"/>
              <w:right w:type="dxa" w:w="220"/>
            </w:tcMar>
          </w:tcPr>
          <w:p>
            <w:pPr>
              <w:spacing w:after="60"/>
            </w:pPr>
            <w:r>
              <w:rPr>
                <w:b/>
                <w:bCs/>
                <w:color w:val="1A1A1A"/>
                <w:sz w:val="20"/>
                <w:szCs w:val="20"/>
              </w:rPr>
              <w:t xml:space="preserve">RULE OF THUMB</w:t>
            </w:r>
          </w:p>
          <w:p>
            <w:r>
              <w:rPr>
                <w:color w:val="1A1A1A"/>
                <w:sz w:val="21"/>
                <w:szCs w:val="21"/>
              </w:rPr>
              <w:t xml:space="preserve">Use all-purpose clusters during development and exploration. Switch to job clusters for scheduled, automated production pipelines, since they are cheaper, isolated per run, and terminate automatically.</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04</w:t>
            </w:r>
          </w:p>
          <w:p>
            <w:r>
              <w:rPr>
                <w:b/>
                <w:bCs/>
                <w:color w:val="FFFFFF"/>
                <w:sz w:val="32"/>
                <w:szCs w:val="32"/>
              </w:rPr>
              <w:t xml:space="preserve">How the Three Pieces Connect</w:t>
            </w:r>
          </w:p>
        </w:tc>
      </w:tr>
    </w:tbl>
    <w:p>
      <w:pPr>
        <w:spacing w:after="160"/>
      </w:pPr>
      <w:r>
        <w:t xml:space="preserve"/>
      </w:r>
    </w:p>
    <w:p>
      <w:pPr>
        <w:spacing w:after="160"/>
      </w:pPr>
      <w:r>
        <w:rPr>
          <w:color w:val="222222"/>
          <w:sz w:val="22"/>
          <w:szCs w:val="22"/>
        </w:rPr>
        <w:t xml:space="preserve">A simplified view of how a Workspace, Notebook, and Cluster relate to one another:</w:t>
      </w:r>
    </w:p>
    <w:p>
      <w:pPr>
        <w:spacing w:after="1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1B1F" w:val="clear"/>
            <w:tcMar>
              <w:top w:type="dxa" w:w="200"/>
              <w:left w:type="dxa" w:w="240"/>
              <w:bottom w:type="dxa" w:w="200"/>
              <w:right w:type="dxa" w:w="240"/>
            </w:tcMar>
          </w:tcPr>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WORKSPACE                        |</w:t>
            </w:r>
          </w:p>
          <w:p>
            <w:pPr>
              <w:spacing w:after="20"/>
            </w:pPr>
            <w:r>
              <w:rPr>
                <w:rFonts w:ascii="Consolas" w:cs="Consolas" w:eastAsia="Consolas" w:hAnsi="Consolas"/>
                <w:color w:val="E8E8E8"/>
                <w:sz w:val="19"/>
                <w:szCs w:val="19"/>
              </w:rPr>
              <w:t xml:space="preserve">  |   Folders | Notebooks | Repos | Permissions        |</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contains</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NOTEBOOK                         |</w:t>
            </w:r>
          </w:p>
          <w:p>
            <w:pPr>
              <w:spacing w:after="20"/>
            </w:pPr>
            <w:r>
              <w:rPr>
                <w:rFonts w:ascii="Consolas" w:cs="Consolas" w:eastAsia="Consolas" w:hAnsi="Consolas"/>
                <w:color w:val="E8E8E8"/>
                <w:sz w:val="19"/>
                <w:szCs w:val="19"/>
              </w:rPr>
              <w:t xml:space="preserve">  |   Cells (Python / SQL / Scala / R) + Markdown      |</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attached to</w:t>
            </w:r>
          </w:p>
          <w:p>
            <w:pPr>
              <w:spacing w:after="20"/>
            </w:pPr>
            <w:r>
              <w:rPr>
                <w:rFonts w:ascii="Consolas" w:cs="Consolas" w:eastAsia="Consolas" w:hAnsi="Consolas"/>
                <w:color w:val="E8E8E8"/>
                <w:sz w:val="19"/>
                <w:szCs w:val="19"/>
              </w:rPr>
              <w:t xml:space="preserve">                         v</w:t>
            </w:r>
          </w:p>
          <w:p>
            <w:pPr>
              <w:spacing w:after="20"/>
            </w:pPr>
            <w:r>
              <w:rPr>
                <w:rFonts w:ascii="Consolas" w:cs="Consolas" w:eastAsia="Consolas" w:hAnsi="Consolas"/>
                <w:color w:val="E8E8E8"/>
                <w:sz w:val="19"/>
                <w:szCs w:val="19"/>
              </w:rPr>
              <w:t xml:space="preserve">  +-------------------------------------------------+</w:t>
            </w:r>
          </w:p>
          <w:p>
            <w:pPr>
              <w:spacing w:after="20"/>
            </w:pPr>
            <w:r>
              <w:rPr>
                <w:rFonts w:ascii="Consolas" w:cs="Consolas" w:eastAsia="Consolas" w:hAnsi="Consolas"/>
                <w:color w:val="E8E8E8"/>
                <w:sz w:val="19"/>
                <w:szCs w:val="19"/>
              </w:rPr>
              <w:t xml:space="preserve">  |                  CLUSTER                          |</w:t>
            </w:r>
          </w:p>
          <w:p>
            <w:pPr>
              <w:spacing w:after="20"/>
            </w:pPr>
            <w:r>
              <w:rPr>
                <w:rFonts w:ascii="Consolas" w:cs="Consolas" w:eastAsia="Consolas" w:hAnsi="Consolas"/>
                <w:color w:val="E8E8E8"/>
                <w:sz w:val="19"/>
                <w:szCs w:val="19"/>
              </w:rPr>
              <w:t xml:space="preserve">  |   Driver Node + Worker Node(s)                     |</w:t>
            </w:r>
          </w:p>
          <w:p>
            <w:pPr>
              <w:spacing w:after="20"/>
            </w:pPr>
            <w:r>
              <w:rPr>
                <w:rFonts w:ascii="Consolas" w:cs="Consolas" w:eastAsia="Consolas" w:hAnsi="Consolas"/>
                <w:color w:val="E8E8E8"/>
                <w:sz w:val="19"/>
                <w:szCs w:val="19"/>
              </w:rPr>
              <w:t xml:space="preserve">  |   (This is the Compute Plane in action)            |</w:t>
            </w:r>
          </w:p>
          <w:p>
            <w:pPr>
              <w:spacing w:after="20"/>
            </w:pPr>
            <w:r>
              <w:rPr>
                <w:rFonts w:ascii="Consolas" w:cs="Consolas" w:eastAsia="Consolas" w:hAnsi="Consolas"/>
                <w:color w:val="E8E8E8"/>
                <w:sz w:val="19"/>
                <w:szCs w:val="19"/>
              </w:rPr>
              <w:t xml:space="preserve">  +-------------------------------------------------+</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9E4A" w:sz="12"/>
              <w:left w:val="single" w:color="2E9E4A" w:sz="24"/>
              <w:bottom w:val="single" w:color="2E9E4A" w:sz="12"/>
              <w:right w:val="single" w:color="2E9E4A" w:sz="12"/>
            </w:tcBorders>
            <w:shd w:fill="DFF6E3" w:val="clear"/>
            <w:tcMar>
              <w:top w:type="dxa" w:w="160"/>
              <w:left w:type="dxa" w:w="220"/>
              <w:bottom w:type="dxa" w:w="160"/>
              <w:right w:type="dxa" w:w="220"/>
            </w:tcMar>
          </w:tcPr>
          <w:p>
            <w:pPr>
              <w:spacing w:after="60"/>
            </w:pPr>
            <w:r>
              <w:rPr>
                <w:b/>
                <w:bCs/>
                <w:color w:val="1A1A1A"/>
                <w:sz w:val="20"/>
                <w:szCs w:val="20"/>
              </w:rPr>
              <w:t xml:space="preserve">REMEMBER THIS FOR INTERVIEWS</w:t>
            </w:r>
          </w:p>
          <w:p>
            <w:r>
              <w:rPr>
                <w:color w:val="1A1A1A"/>
                <w:sz w:val="21"/>
                <w:szCs w:val="21"/>
              </w:rPr>
              <w:t xml:space="preserve">A Notebook defines what to run. A Cluster defines where and how it actually runs. Without an attached, running cluster, a notebook's code is inert text; nothing executes until compute is available.</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05</w:t>
            </w:r>
          </w:p>
          <w:p>
            <w:r>
              <w:rPr>
                <w:b/>
                <w:bCs/>
                <w:color w:val="FFFFFF"/>
                <w:sz w:val="32"/>
                <w:szCs w:val="32"/>
              </w:rPr>
              <w:t xml:space="preserve">Key Cluster Configuration Settings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Setting</w:t>
            </w:r>
          </w:p>
        </w:tc>
        <w:tc>
          <w:tcPr>
            <w:tcW w:type="dxa" w:w="6750"/>
            <w:shd w:fill="0B1F3A" w:val="clear"/>
            <w:tcMar>
              <w:top w:type="dxa" w:w="120"/>
              <w:left w:type="dxa" w:w="140"/>
              <w:bottom w:type="dxa" w:w="120"/>
              <w:right w:type="dxa" w:w="140"/>
            </w:tcMar>
            <w:vAlign w:val="center"/>
          </w:tcPr>
          <w:p>
            <w:r>
              <w:rPr>
                <w:b/>
                <w:bCs/>
                <w:color w:val="FFFFFF"/>
                <w:sz w:val="20"/>
                <w:szCs w:val="20"/>
              </w:rPr>
              <w:t xml:space="preserve">What It Controls</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Databricks Runtime Version</w:t>
            </w:r>
          </w:p>
        </w:tc>
        <w:tc>
          <w:tcPr>
            <w:tcW w:type="dxa" w:w="6750"/>
            <w:shd w:fill="FFFFFF" w:val="clear"/>
            <w:tcMar>
              <w:top w:type="dxa" w:w="110"/>
              <w:left w:type="dxa" w:w="140"/>
              <w:bottom w:type="dxa" w:w="110"/>
              <w:right w:type="dxa" w:w="140"/>
            </w:tcMar>
            <w:vAlign w:val="center"/>
          </w:tcPr>
          <w:p>
            <w:r>
              <w:rPr>
                <w:color w:val="222222"/>
                <w:sz w:val="20"/>
                <w:szCs w:val="20"/>
              </w:rPr>
              <w:t xml:space="preserve">The software stack: Spark version, Python/Scala versions, and pre-installed libraries. LTS versions are recommended for production.</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Node Type</w:t>
            </w:r>
          </w:p>
        </w:tc>
        <w:tc>
          <w:tcPr>
            <w:tcW w:type="dxa" w:w="6750"/>
            <w:shd w:fill="F2F2F2" w:val="clear"/>
            <w:tcMar>
              <w:top w:type="dxa" w:w="110"/>
              <w:left w:type="dxa" w:w="140"/>
              <w:bottom w:type="dxa" w:w="110"/>
              <w:right w:type="dxa" w:w="140"/>
            </w:tcMar>
            <w:vAlign w:val="center"/>
          </w:tcPr>
          <w:p>
            <w:r>
              <w:rPr>
                <w:color w:val="222222"/>
                <w:sz w:val="20"/>
                <w:szCs w:val="20"/>
              </w:rPr>
              <w:t xml:space="preserve">The VM instance type used for driver and worker nodes, affecting memory, CPU, and cost.</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Autoscaling</w:t>
            </w:r>
          </w:p>
        </w:tc>
        <w:tc>
          <w:tcPr>
            <w:tcW w:type="dxa" w:w="6750"/>
            <w:shd w:fill="FFFFFF" w:val="clear"/>
            <w:tcMar>
              <w:top w:type="dxa" w:w="110"/>
              <w:left w:type="dxa" w:w="140"/>
              <w:bottom w:type="dxa" w:w="110"/>
              <w:right w:type="dxa" w:w="140"/>
            </w:tcMar>
            <w:vAlign w:val="center"/>
          </w:tcPr>
          <w:p>
            <w:r>
              <w:rPr>
                <w:color w:val="222222"/>
                <w:sz w:val="20"/>
                <w:szCs w:val="20"/>
              </w:rPr>
              <w:t xml:space="preserve">Automatically adjusts the number of worker nodes based on workload demand, within a configured min and max range.</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Auto-Termination</w:t>
            </w:r>
          </w:p>
        </w:tc>
        <w:tc>
          <w:tcPr>
            <w:tcW w:type="dxa" w:w="6750"/>
            <w:shd w:fill="F2F2F2" w:val="clear"/>
            <w:tcMar>
              <w:top w:type="dxa" w:w="110"/>
              <w:left w:type="dxa" w:w="140"/>
              <w:bottom w:type="dxa" w:w="110"/>
              <w:right w:type="dxa" w:w="140"/>
            </w:tcMar>
            <w:vAlign w:val="center"/>
          </w:tcPr>
          <w:p>
            <w:r>
              <w:rPr>
                <w:color w:val="222222"/>
                <w:sz w:val="20"/>
                <w:szCs w:val="20"/>
              </w:rPr>
              <w:t xml:space="preserve">Automatically shuts down an idle all-purpose cluster after a specified period of inactivity, to control cost.</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Access Mode</w:t>
            </w:r>
          </w:p>
        </w:tc>
        <w:tc>
          <w:tcPr>
            <w:tcW w:type="dxa" w:w="6750"/>
            <w:shd w:fill="FFFFFF" w:val="clear"/>
            <w:tcMar>
              <w:top w:type="dxa" w:w="110"/>
              <w:left w:type="dxa" w:w="140"/>
              <w:bottom w:type="dxa" w:w="110"/>
              <w:right w:type="dxa" w:w="140"/>
            </w:tcMar>
            <w:vAlign w:val="center"/>
          </w:tcPr>
          <w:p>
            <w:r>
              <w:rPr>
                <w:color w:val="222222"/>
                <w:sz w:val="20"/>
                <w:szCs w:val="20"/>
              </w:rPr>
              <w:t xml:space="preserve">Controls whether a cluster is shared across users or dedicated to a single user, and affects governance features available.</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06</w:t>
            </w:r>
          </w:p>
          <w:p>
            <w:r>
              <w:rPr>
                <w:b/>
                <w:bCs/>
                <w:color w:val="FFFFFF"/>
                <w:sz w:val="32"/>
                <w:szCs w:val="32"/>
              </w:rPr>
              <w:t xml:space="preserve">All-Purpose vs Job Clusters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50"/>
        <w:gridCol w:w="3600"/>
      </w:tblGrid>
      <w:tr>
        <w:tc>
          <w:tcPr>
            <w:tcW w:type="dxa" w:w="2400"/>
            <w:shd w:fill="0B1F3A" w:val="clear"/>
            <w:tcMar>
              <w:top w:type="dxa" w:w="120"/>
              <w:left w:type="dxa" w:w="140"/>
              <w:bottom w:type="dxa" w:w="120"/>
              <w:right w:type="dxa" w:w="140"/>
            </w:tcMar>
            <w:vAlign w:val="center"/>
          </w:tcPr>
          <w:p>
            <w:r>
              <w:rPr>
                <w:b/>
                <w:bCs/>
                <w:color w:val="FFFFFF"/>
                <w:sz w:val="20"/>
                <w:szCs w:val="20"/>
              </w:rPr>
              <w:t xml:space="preserve">Aspect</w:t>
            </w:r>
          </w:p>
        </w:tc>
        <w:tc>
          <w:tcPr>
            <w:tcW w:type="dxa" w:w="3350"/>
            <w:shd w:fill="0B1F3A" w:val="clear"/>
            <w:tcMar>
              <w:top w:type="dxa" w:w="120"/>
              <w:left w:type="dxa" w:w="140"/>
              <w:bottom w:type="dxa" w:w="120"/>
              <w:right w:type="dxa" w:w="140"/>
            </w:tcMar>
            <w:vAlign w:val="center"/>
          </w:tcPr>
          <w:p>
            <w:r>
              <w:rPr>
                <w:b/>
                <w:bCs/>
                <w:color w:val="FFFFFF"/>
                <w:sz w:val="20"/>
                <w:szCs w:val="20"/>
              </w:rPr>
              <w:t xml:space="preserve">All-Purpose Cluster</w:t>
            </w:r>
          </w:p>
        </w:tc>
        <w:tc>
          <w:tcPr>
            <w:tcW w:type="dxa" w:w="3600"/>
            <w:shd w:fill="0B1F3A" w:val="clear"/>
            <w:tcMar>
              <w:top w:type="dxa" w:w="120"/>
              <w:left w:type="dxa" w:w="140"/>
              <w:bottom w:type="dxa" w:w="120"/>
              <w:right w:type="dxa" w:w="140"/>
            </w:tcMar>
            <w:vAlign w:val="center"/>
          </w:tcPr>
          <w:p>
            <w:r>
              <w:rPr>
                <w:b/>
                <w:bCs/>
                <w:color w:val="FFFFFF"/>
                <w:sz w:val="20"/>
                <w:szCs w:val="20"/>
              </w:rPr>
              <w:t xml:space="preserve">Job Cluster</w:t>
            </w:r>
          </w:p>
        </w:tc>
      </w:tr>
      <w:tr>
        <w:tc>
          <w:tcPr>
            <w:tcW w:type="dxa" w:w="2400"/>
            <w:shd w:fill="FFFFFF" w:val="clear"/>
            <w:tcMar>
              <w:top w:type="dxa" w:w="110"/>
              <w:left w:type="dxa" w:w="140"/>
              <w:bottom w:type="dxa" w:w="110"/>
              <w:right w:type="dxa" w:w="140"/>
            </w:tcMar>
            <w:vAlign w:val="center"/>
          </w:tcPr>
          <w:p>
            <w:r>
              <w:rPr>
                <w:color w:val="222222"/>
                <w:sz w:val="20"/>
                <w:szCs w:val="20"/>
              </w:rPr>
              <w:t xml:space="preserve">Created By</w:t>
            </w:r>
          </w:p>
        </w:tc>
        <w:tc>
          <w:tcPr>
            <w:tcW w:type="dxa" w:w="3350"/>
            <w:shd w:fill="FFFFFF" w:val="clear"/>
            <w:tcMar>
              <w:top w:type="dxa" w:w="110"/>
              <w:left w:type="dxa" w:w="140"/>
              <w:bottom w:type="dxa" w:w="110"/>
              <w:right w:type="dxa" w:w="140"/>
            </w:tcMar>
            <w:vAlign w:val="center"/>
          </w:tcPr>
          <w:p>
            <w:r>
              <w:rPr>
                <w:color w:val="222222"/>
                <w:sz w:val="20"/>
                <w:szCs w:val="20"/>
              </w:rPr>
              <w:t xml:space="preserve">Manually, via UI, CLI, or REST API</w:t>
            </w:r>
          </w:p>
        </w:tc>
        <w:tc>
          <w:tcPr>
            <w:tcW w:type="dxa" w:w="3600"/>
            <w:shd w:fill="FFFFFF" w:val="clear"/>
            <w:tcMar>
              <w:top w:type="dxa" w:w="110"/>
              <w:left w:type="dxa" w:w="140"/>
              <w:bottom w:type="dxa" w:w="110"/>
              <w:right w:type="dxa" w:w="140"/>
            </w:tcMar>
            <w:vAlign w:val="center"/>
          </w:tcPr>
          <w:p>
            <w:r>
              <w:rPr>
                <w:color w:val="222222"/>
                <w:sz w:val="20"/>
                <w:szCs w:val="20"/>
              </w:rPr>
              <w:t xml:space="preserve">Automatically, by the job scheduler</w:t>
            </w:r>
          </w:p>
        </w:tc>
      </w:tr>
      <w:tr>
        <w:tc>
          <w:tcPr>
            <w:tcW w:type="dxa" w:w="2400"/>
            <w:shd w:fill="F2F2F2" w:val="clear"/>
            <w:tcMar>
              <w:top w:type="dxa" w:w="110"/>
              <w:left w:type="dxa" w:w="140"/>
              <w:bottom w:type="dxa" w:w="110"/>
              <w:right w:type="dxa" w:w="140"/>
            </w:tcMar>
            <w:vAlign w:val="center"/>
          </w:tcPr>
          <w:p>
            <w:r>
              <w:rPr>
                <w:color w:val="222222"/>
                <w:sz w:val="20"/>
                <w:szCs w:val="20"/>
              </w:rPr>
              <w:t xml:space="preserve">Lifecycle</w:t>
            </w:r>
          </w:p>
        </w:tc>
        <w:tc>
          <w:tcPr>
            <w:tcW w:type="dxa" w:w="3350"/>
            <w:shd w:fill="F2F2F2" w:val="clear"/>
            <w:tcMar>
              <w:top w:type="dxa" w:w="110"/>
              <w:left w:type="dxa" w:w="140"/>
              <w:bottom w:type="dxa" w:w="110"/>
              <w:right w:type="dxa" w:w="140"/>
            </w:tcMar>
            <w:vAlign w:val="center"/>
          </w:tcPr>
          <w:p>
            <w:r>
              <w:rPr>
                <w:color w:val="222222"/>
                <w:sz w:val="20"/>
                <w:szCs w:val="20"/>
              </w:rPr>
              <w:t xml:space="preserve">Manually started, stopped, restarted</w:t>
            </w:r>
          </w:p>
        </w:tc>
        <w:tc>
          <w:tcPr>
            <w:tcW w:type="dxa" w:w="3600"/>
            <w:shd w:fill="F2F2F2" w:val="clear"/>
            <w:tcMar>
              <w:top w:type="dxa" w:w="110"/>
              <w:left w:type="dxa" w:w="140"/>
              <w:bottom w:type="dxa" w:w="110"/>
              <w:right w:type="dxa" w:w="140"/>
            </w:tcMar>
            <w:vAlign w:val="center"/>
          </w:tcPr>
          <w:p>
            <w:r>
              <w:rPr>
                <w:color w:val="222222"/>
                <w:sz w:val="20"/>
                <w:szCs w:val="20"/>
              </w:rPr>
              <w:t xml:space="preserve">Auto-terminates when the job ends</w:t>
            </w:r>
          </w:p>
        </w:tc>
      </w:tr>
      <w:tr>
        <w:tc>
          <w:tcPr>
            <w:tcW w:type="dxa" w:w="2400"/>
            <w:shd w:fill="FFFFFF" w:val="clear"/>
            <w:tcMar>
              <w:top w:type="dxa" w:w="110"/>
              <w:left w:type="dxa" w:w="140"/>
              <w:bottom w:type="dxa" w:w="110"/>
              <w:right w:type="dxa" w:w="140"/>
            </w:tcMar>
            <w:vAlign w:val="center"/>
          </w:tcPr>
          <w:p>
            <w:r>
              <w:rPr>
                <w:color w:val="222222"/>
                <w:sz w:val="20"/>
                <w:szCs w:val="20"/>
              </w:rPr>
              <w:t xml:space="preserve">Typical Use</w:t>
            </w:r>
          </w:p>
        </w:tc>
        <w:tc>
          <w:tcPr>
            <w:tcW w:type="dxa" w:w="3350"/>
            <w:shd w:fill="FFFFFF" w:val="clear"/>
            <w:tcMar>
              <w:top w:type="dxa" w:w="110"/>
              <w:left w:type="dxa" w:w="140"/>
              <w:bottom w:type="dxa" w:w="110"/>
              <w:right w:type="dxa" w:w="140"/>
            </w:tcMar>
            <w:vAlign w:val="center"/>
          </w:tcPr>
          <w:p>
            <w:r>
              <w:rPr>
                <w:color w:val="222222"/>
                <w:sz w:val="20"/>
                <w:szCs w:val="20"/>
              </w:rPr>
              <w:t xml:space="preserve">Interactive development, collaboration</w:t>
            </w:r>
          </w:p>
        </w:tc>
        <w:tc>
          <w:tcPr>
            <w:tcW w:type="dxa" w:w="3600"/>
            <w:shd w:fill="FFFFFF" w:val="clear"/>
            <w:tcMar>
              <w:top w:type="dxa" w:w="110"/>
              <w:left w:type="dxa" w:w="140"/>
              <w:bottom w:type="dxa" w:w="110"/>
              <w:right w:type="dxa" w:w="140"/>
            </w:tcMar>
            <w:vAlign w:val="center"/>
          </w:tcPr>
          <w:p>
            <w:r>
              <w:rPr>
                <w:color w:val="222222"/>
                <w:sz w:val="20"/>
                <w:szCs w:val="20"/>
              </w:rPr>
              <w:t xml:space="preserve">Scheduled, automated production jobs</w:t>
            </w:r>
          </w:p>
        </w:tc>
      </w:tr>
      <w:tr>
        <w:tc>
          <w:tcPr>
            <w:tcW w:type="dxa" w:w="2400"/>
            <w:shd w:fill="F2F2F2" w:val="clear"/>
            <w:tcMar>
              <w:top w:type="dxa" w:w="110"/>
              <w:left w:type="dxa" w:w="140"/>
              <w:bottom w:type="dxa" w:w="110"/>
              <w:right w:type="dxa" w:w="140"/>
            </w:tcMar>
            <w:vAlign w:val="center"/>
          </w:tcPr>
          <w:p>
            <w:r>
              <w:rPr>
                <w:color w:val="222222"/>
                <w:sz w:val="20"/>
                <w:szCs w:val="20"/>
              </w:rPr>
              <w:t xml:space="preserve">Sharing</w:t>
            </w:r>
          </w:p>
        </w:tc>
        <w:tc>
          <w:tcPr>
            <w:tcW w:type="dxa" w:w="3350"/>
            <w:shd w:fill="F2F2F2" w:val="clear"/>
            <w:tcMar>
              <w:top w:type="dxa" w:w="110"/>
              <w:left w:type="dxa" w:w="140"/>
              <w:bottom w:type="dxa" w:w="110"/>
              <w:right w:type="dxa" w:w="140"/>
            </w:tcMar>
            <w:vAlign w:val="center"/>
          </w:tcPr>
          <w:p>
            <w:r>
              <w:rPr>
                <w:color w:val="222222"/>
                <w:sz w:val="20"/>
                <w:szCs w:val="20"/>
              </w:rPr>
              <w:t xml:space="preserve">Can be shared across multiple users</w:t>
            </w:r>
          </w:p>
        </w:tc>
        <w:tc>
          <w:tcPr>
            <w:tcW w:type="dxa" w:w="3600"/>
            <w:shd w:fill="F2F2F2" w:val="clear"/>
            <w:tcMar>
              <w:top w:type="dxa" w:w="110"/>
              <w:left w:type="dxa" w:w="140"/>
              <w:bottom w:type="dxa" w:w="110"/>
              <w:right w:type="dxa" w:w="140"/>
            </w:tcMar>
            <w:vAlign w:val="center"/>
          </w:tcPr>
          <w:p>
            <w:r>
              <w:rPr>
                <w:color w:val="222222"/>
                <w:sz w:val="20"/>
                <w:szCs w:val="20"/>
              </w:rPr>
              <w:t xml:space="preserve">Dedicated to a single job run</w:t>
            </w:r>
          </w:p>
        </w:tc>
      </w:tr>
      <w:tr>
        <w:tc>
          <w:tcPr>
            <w:tcW w:type="dxa" w:w="2400"/>
            <w:shd w:fill="FFFFFF" w:val="clear"/>
            <w:tcMar>
              <w:top w:type="dxa" w:w="110"/>
              <w:left w:type="dxa" w:w="140"/>
              <w:bottom w:type="dxa" w:w="110"/>
              <w:right w:type="dxa" w:w="140"/>
            </w:tcMar>
            <w:vAlign w:val="center"/>
          </w:tcPr>
          <w:p>
            <w:r>
              <w:rPr>
                <w:color w:val="222222"/>
                <w:sz w:val="20"/>
                <w:szCs w:val="20"/>
              </w:rPr>
              <w:t xml:space="preserve">Cost Behavior</w:t>
            </w:r>
          </w:p>
        </w:tc>
        <w:tc>
          <w:tcPr>
            <w:tcW w:type="dxa" w:w="3350"/>
            <w:shd w:fill="FFFFFF" w:val="clear"/>
            <w:tcMar>
              <w:top w:type="dxa" w:w="110"/>
              <w:left w:type="dxa" w:w="140"/>
              <w:bottom w:type="dxa" w:w="110"/>
              <w:right w:type="dxa" w:w="140"/>
            </w:tcMar>
            <w:vAlign w:val="center"/>
          </w:tcPr>
          <w:p>
            <w:r>
              <w:rPr>
                <w:color w:val="222222"/>
                <w:sz w:val="20"/>
                <w:szCs w:val="20"/>
              </w:rPr>
              <w:t xml:space="preserve">Runs until manually stopped or auto-terminated</w:t>
            </w:r>
          </w:p>
        </w:tc>
        <w:tc>
          <w:tcPr>
            <w:tcW w:type="dxa" w:w="3600"/>
            <w:shd w:fill="FFFFFF" w:val="clear"/>
            <w:tcMar>
              <w:top w:type="dxa" w:w="110"/>
              <w:left w:type="dxa" w:w="140"/>
              <w:bottom w:type="dxa" w:w="110"/>
              <w:right w:type="dxa" w:w="140"/>
            </w:tcMar>
            <w:vAlign w:val="center"/>
          </w:tcPr>
          <w:p>
            <w:r>
              <w:rPr>
                <w:color w:val="222222"/>
                <w:sz w:val="20"/>
                <w:szCs w:val="20"/>
              </w:rPr>
              <w:t xml:space="preserve">Runs only for the job's duration</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07</w:t>
            </w:r>
          </w:p>
          <w:p>
            <w:r>
              <w:rPr>
                <w:b/>
                <w:bCs/>
                <w:color w:val="FFFFFF"/>
                <w:sz w:val="32"/>
                <w:szCs w:val="32"/>
              </w:rPr>
              <w:t xml:space="preserve">Glossary — Day 3 Terms</w:t>
            </w:r>
          </w:p>
        </w:tc>
      </w:tr>
    </w:tbl>
    <w:p>
      <w:pPr>
        <w:spacing w:after="16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B1F3A" w:val="clear"/>
            <w:tcMar>
              <w:top w:type="dxa" w:w="120"/>
              <w:left w:type="dxa" w:w="140"/>
              <w:bottom w:type="dxa" w:w="120"/>
              <w:right w:type="dxa" w:w="140"/>
            </w:tcMar>
            <w:vAlign w:val="center"/>
          </w:tcPr>
          <w:p>
            <w:r>
              <w:rPr>
                <w:b/>
                <w:bCs/>
                <w:color w:val="FFFFFF"/>
                <w:sz w:val="20"/>
                <w:szCs w:val="20"/>
              </w:rPr>
              <w:t xml:space="preserve">Term</w:t>
            </w:r>
          </w:p>
        </w:tc>
        <w:tc>
          <w:tcPr>
            <w:tcW w:type="dxa" w:w="6750"/>
            <w:shd w:fill="0B1F3A" w:val="clear"/>
            <w:tcMar>
              <w:top w:type="dxa" w:w="120"/>
              <w:left w:type="dxa" w:w="140"/>
              <w:bottom w:type="dxa" w:w="120"/>
              <w:right w:type="dxa" w:w="140"/>
            </w:tcMar>
            <w:vAlign w:val="center"/>
          </w:tcPr>
          <w:p>
            <w:r>
              <w:rPr>
                <w:b/>
                <w:bCs/>
                <w:color w:val="FFFFFF"/>
                <w:sz w:val="20"/>
                <w:szCs w:val="20"/>
              </w:rPr>
              <w:t xml:space="preserve">Definition</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Workspace</w:t>
            </w:r>
          </w:p>
        </w:tc>
        <w:tc>
          <w:tcPr>
            <w:tcW w:type="dxa" w:w="6750"/>
            <w:shd w:fill="FFFFFF" w:val="clear"/>
            <w:tcMar>
              <w:top w:type="dxa" w:w="110"/>
              <w:left w:type="dxa" w:w="140"/>
              <w:bottom w:type="dxa" w:w="110"/>
              <w:right w:type="dxa" w:w="140"/>
            </w:tcMar>
            <w:vAlign w:val="center"/>
          </w:tcPr>
          <w:p>
            <w:r>
              <w:rPr>
                <w:color w:val="222222"/>
                <w:sz w:val="20"/>
                <w:szCs w:val="20"/>
              </w:rPr>
              <w:t xml:space="preserve">The organizational environment holding notebooks, folders, repos, and permissions.</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Notebook</w:t>
            </w:r>
          </w:p>
        </w:tc>
        <w:tc>
          <w:tcPr>
            <w:tcW w:type="dxa" w:w="6750"/>
            <w:shd w:fill="F2F2F2" w:val="clear"/>
            <w:tcMar>
              <w:top w:type="dxa" w:w="110"/>
              <w:left w:type="dxa" w:w="140"/>
              <w:bottom w:type="dxa" w:w="110"/>
              <w:right w:type="dxa" w:w="140"/>
            </w:tcMar>
            <w:vAlign w:val="center"/>
          </w:tcPr>
          <w:p>
            <w:r>
              <w:rPr>
                <w:color w:val="222222"/>
                <w:sz w:val="20"/>
                <w:szCs w:val="20"/>
              </w:rPr>
              <w:t xml:space="preserve">A cell-based interactive coding environment supporting Python, SQL, Scala, and R.</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Cluster</w:t>
            </w:r>
          </w:p>
        </w:tc>
        <w:tc>
          <w:tcPr>
            <w:tcW w:type="dxa" w:w="6750"/>
            <w:shd w:fill="FFFFFF" w:val="clear"/>
            <w:tcMar>
              <w:top w:type="dxa" w:w="110"/>
              <w:left w:type="dxa" w:w="140"/>
              <w:bottom w:type="dxa" w:w="110"/>
              <w:right w:type="dxa" w:w="140"/>
            </w:tcMar>
            <w:vAlign w:val="center"/>
          </w:tcPr>
          <w:p>
            <w:r>
              <w:rPr>
                <w:color w:val="222222"/>
                <w:sz w:val="20"/>
                <w:szCs w:val="20"/>
              </w:rPr>
              <w:t xml:space="preserve">A set of provisioned compute resources, with a driver node and optional worker nodes, that runs notebook and job code.</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Driver Node</w:t>
            </w:r>
          </w:p>
        </w:tc>
        <w:tc>
          <w:tcPr>
            <w:tcW w:type="dxa" w:w="6750"/>
            <w:shd w:fill="F2F2F2" w:val="clear"/>
            <w:tcMar>
              <w:top w:type="dxa" w:w="110"/>
              <w:left w:type="dxa" w:w="140"/>
              <w:bottom w:type="dxa" w:w="110"/>
              <w:right w:type="dxa" w:w="140"/>
            </w:tcMar>
            <w:vAlign w:val="center"/>
          </w:tcPr>
          <w:p>
            <w:r>
              <w:rPr>
                <w:color w:val="222222"/>
                <w:sz w:val="20"/>
                <w:szCs w:val="20"/>
              </w:rPr>
              <w:t xml:space="preserve">The node that coordinates work, holds the SparkContext, and collects results.</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Worker Node</w:t>
            </w:r>
          </w:p>
        </w:tc>
        <w:tc>
          <w:tcPr>
            <w:tcW w:type="dxa" w:w="6750"/>
            <w:shd w:fill="FFFFFF" w:val="clear"/>
            <w:tcMar>
              <w:top w:type="dxa" w:w="110"/>
              <w:left w:type="dxa" w:w="140"/>
              <w:bottom w:type="dxa" w:w="110"/>
              <w:right w:type="dxa" w:w="140"/>
            </w:tcMar>
            <w:vAlign w:val="center"/>
          </w:tcPr>
          <w:p>
            <w:r>
              <w:rPr>
                <w:color w:val="222222"/>
                <w:sz w:val="20"/>
                <w:szCs w:val="20"/>
              </w:rPr>
              <w:t xml:space="preserve">A node that executes the distributed tasks assigned to it by the driver.</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All-Purpose Cluster</w:t>
            </w:r>
          </w:p>
        </w:tc>
        <w:tc>
          <w:tcPr>
            <w:tcW w:type="dxa" w:w="6750"/>
            <w:shd w:fill="F2F2F2" w:val="clear"/>
            <w:tcMar>
              <w:top w:type="dxa" w:w="110"/>
              <w:left w:type="dxa" w:w="140"/>
              <w:bottom w:type="dxa" w:w="110"/>
              <w:right w:type="dxa" w:w="140"/>
            </w:tcMar>
            <w:vAlign w:val="center"/>
          </w:tcPr>
          <w:p>
            <w:r>
              <w:rPr>
                <w:color w:val="222222"/>
                <w:sz w:val="20"/>
                <w:szCs w:val="20"/>
              </w:rPr>
              <w:t xml:space="preserve">A manually managed cluster used for interactive, collaborative development.</w:t>
            </w:r>
          </w:p>
        </w:tc>
      </w:tr>
      <w:tr>
        <w:tc>
          <w:tcPr>
            <w:tcW w:type="dxa" w:w="2600"/>
            <w:shd w:fill="FFFFFF" w:val="clear"/>
            <w:tcMar>
              <w:top w:type="dxa" w:w="110"/>
              <w:left w:type="dxa" w:w="140"/>
              <w:bottom w:type="dxa" w:w="110"/>
              <w:right w:type="dxa" w:w="140"/>
            </w:tcMar>
            <w:vAlign w:val="center"/>
          </w:tcPr>
          <w:p>
            <w:r>
              <w:rPr>
                <w:color w:val="222222"/>
                <w:sz w:val="20"/>
                <w:szCs w:val="20"/>
              </w:rPr>
              <w:t xml:space="preserve">Job Cluster</w:t>
            </w:r>
          </w:p>
        </w:tc>
        <w:tc>
          <w:tcPr>
            <w:tcW w:type="dxa" w:w="6750"/>
            <w:shd w:fill="FFFFFF" w:val="clear"/>
            <w:tcMar>
              <w:top w:type="dxa" w:w="110"/>
              <w:left w:type="dxa" w:w="140"/>
              <w:bottom w:type="dxa" w:w="110"/>
              <w:right w:type="dxa" w:w="140"/>
            </w:tcMar>
            <w:vAlign w:val="center"/>
          </w:tcPr>
          <w:p>
            <w:r>
              <w:rPr>
                <w:color w:val="222222"/>
                <w:sz w:val="20"/>
                <w:szCs w:val="20"/>
              </w:rPr>
              <w:t xml:space="preserve">An ephemeral cluster automatically created and destroyed for a single scheduled job run.</w:t>
            </w:r>
          </w:p>
        </w:tc>
      </w:tr>
      <w:tr>
        <w:tc>
          <w:tcPr>
            <w:tcW w:type="dxa" w:w="2600"/>
            <w:shd w:fill="F2F2F2" w:val="clear"/>
            <w:tcMar>
              <w:top w:type="dxa" w:w="110"/>
              <w:left w:type="dxa" w:w="140"/>
              <w:bottom w:type="dxa" w:w="110"/>
              <w:right w:type="dxa" w:w="140"/>
            </w:tcMar>
            <w:vAlign w:val="center"/>
          </w:tcPr>
          <w:p>
            <w:r>
              <w:rPr>
                <w:color w:val="222222"/>
                <w:sz w:val="20"/>
                <w:szCs w:val="20"/>
              </w:rPr>
              <w:t xml:space="preserve">Magic Command</w:t>
            </w:r>
          </w:p>
        </w:tc>
        <w:tc>
          <w:tcPr>
            <w:tcW w:type="dxa" w:w="6750"/>
            <w:shd w:fill="F2F2F2" w:val="clear"/>
            <w:tcMar>
              <w:top w:type="dxa" w:w="110"/>
              <w:left w:type="dxa" w:w="140"/>
              <w:bottom w:type="dxa" w:w="110"/>
              <w:right w:type="dxa" w:w="140"/>
            </w:tcMar>
            <w:vAlign w:val="center"/>
          </w:tcPr>
          <w:p>
            <w:r>
              <w:rPr>
                <w:color w:val="222222"/>
                <w:sz w:val="20"/>
                <w:szCs w:val="20"/>
              </w:rPr>
              <w:t xml:space="preserve">A notebook directive, such as %sql or %python, that changes how a cell is interpreted.</w:t>
            </w:r>
          </w:p>
        </w:tc>
      </w:tr>
    </w:tbl>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B1F3A" w:val="clear"/>
            <w:tcMar>
              <w:top w:type="dxa" w:w="200"/>
              <w:left w:type="dxa" w:w="200"/>
              <w:bottom w:type="dxa" w:w="200"/>
              <w:right w:type="dxa" w:w="200"/>
            </w:tcMar>
          </w:tcPr>
          <w:p>
            <w:r>
              <w:rPr>
                <w:rFonts w:ascii="Consolas" w:cs="Consolas" w:eastAsia="Consolas" w:hAnsi="Consolas"/>
                <w:b/>
                <w:bCs/>
                <w:color w:val="C8102E"/>
                <w:sz w:val="18"/>
                <w:szCs w:val="18"/>
              </w:rPr>
              <w:t xml:space="preserve">SECTION 08</w:t>
            </w:r>
          </w:p>
          <w:p>
            <w:r>
              <w:rPr>
                <w:b/>
                <w:bCs/>
                <w:color w:val="FFFFFF"/>
                <w:sz w:val="32"/>
                <w:szCs w:val="32"/>
              </w:rPr>
              <w:t xml:space="preserve">Interview Questions &amp; Answers</w:t>
            </w:r>
          </w:p>
        </w:tc>
      </w:tr>
    </w:tbl>
    <w:p>
      <w:pPr>
        <w:spacing w:after="160"/>
      </w:pPr>
      <w:r>
        <w:t xml:space="preserve"/>
      </w:r>
    </w:p>
    <w:p>
      <w:pPr>
        <w:spacing w:after="60" w:before="180"/>
      </w:pPr>
      <w:r>
        <w:rPr>
          <w:b/>
          <w:bCs/>
          <w:color w:val="C8102E"/>
          <w:sz w:val="22"/>
          <w:szCs w:val="22"/>
        </w:rPr>
        <w:t xml:space="preserve">Q1. </w:t>
      </w:r>
      <w:r>
        <w:rPr>
          <w:b/>
          <w:bCs/>
          <w:color w:val="1A1A1A"/>
          <w:sz w:val="22"/>
          <w:szCs w:val="22"/>
        </w:rPr>
        <w:t xml:space="preserve">What is the difference between a Workspace and a Cluster?</w:t>
      </w:r>
    </w:p>
    <w:p>
      <w:pPr>
        <w:spacing w:after="80"/>
      </w:pPr>
      <w:r>
        <w:rPr>
          <w:b/>
          <w:bCs/>
          <w:color w:val="16305C"/>
          <w:sz w:val="21"/>
          <w:szCs w:val="21"/>
        </w:rPr>
        <w:t xml:space="preserve">A. </w:t>
      </w:r>
      <w:r>
        <w:rPr>
          <w:color w:val="333333"/>
          <w:sz w:val="21"/>
          <w:szCs w:val="21"/>
        </w:rPr>
        <w:t xml:space="preserve">A Workspace is an organizational environment holding notebooks, folders, and permissions; it does not run code. A Cluster is the actual compute resource, with a driver and worker nodes, that executes the code inside a notebook.</w:t>
      </w:r>
    </w:p>
    <w:p>
      <w:pPr>
        <w:spacing w:after="60" w:before="180"/>
      </w:pPr>
      <w:r>
        <w:rPr>
          <w:b/>
          <w:bCs/>
          <w:color w:val="C8102E"/>
          <w:sz w:val="22"/>
          <w:szCs w:val="22"/>
        </w:rPr>
        <w:t xml:space="preserve">Q2. </w:t>
      </w:r>
      <w:r>
        <w:rPr>
          <w:b/>
          <w:bCs/>
          <w:color w:val="1A1A1A"/>
          <w:sz w:val="22"/>
          <w:szCs w:val="22"/>
        </w:rPr>
        <w:t xml:space="preserve">What is the difference between an all-purpose cluster and a job cluster?</w:t>
      </w:r>
    </w:p>
    <w:p>
      <w:pPr>
        <w:spacing w:after="80"/>
      </w:pPr>
      <w:r>
        <w:rPr>
          <w:b/>
          <w:bCs/>
          <w:color w:val="16305C"/>
          <w:sz w:val="21"/>
          <w:szCs w:val="21"/>
        </w:rPr>
        <w:t xml:space="preserve">A. </w:t>
      </w:r>
      <w:r>
        <w:rPr>
          <w:color w:val="333333"/>
          <w:sz w:val="21"/>
          <w:szCs w:val="21"/>
        </w:rPr>
        <w:t xml:space="preserve">An all-purpose cluster is manually created and managed, used for interactive and collaborative work, and can be shared across users. A job cluster is created automatically by the job scheduler for a single automated run and terminates once that job finishes.</w:t>
      </w:r>
    </w:p>
    <w:p>
      <w:pPr>
        <w:spacing w:after="60" w:before="180"/>
      </w:pPr>
      <w:r>
        <w:rPr>
          <w:b/>
          <w:bCs/>
          <w:color w:val="C8102E"/>
          <w:sz w:val="22"/>
          <w:szCs w:val="22"/>
        </w:rPr>
        <w:t xml:space="preserve">Q3. </w:t>
      </w:r>
      <w:r>
        <w:rPr>
          <w:b/>
          <w:bCs/>
          <w:color w:val="1A1A1A"/>
          <w:sz w:val="22"/>
          <w:szCs w:val="22"/>
        </w:rPr>
        <w:t xml:space="preserve">Can a single notebook use multiple languages?</w:t>
      </w:r>
    </w:p>
    <w:p>
      <w:pPr>
        <w:spacing w:after="80"/>
      </w:pPr>
      <w:r>
        <w:rPr>
          <w:b/>
          <w:bCs/>
          <w:color w:val="16305C"/>
          <w:sz w:val="21"/>
          <w:szCs w:val="21"/>
        </w:rPr>
        <w:t xml:space="preserve">A. </w:t>
      </w:r>
      <w:r>
        <w:rPr>
          <w:color w:val="333333"/>
          <w:sz w:val="21"/>
          <w:szCs w:val="21"/>
        </w:rPr>
        <w:t xml:space="preserve">Yes. A notebook has a default language, but any cell can override it using a magic command such as %sql, %python, %scala, or %r.</w:t>
      </w:r>
    </w:p>
    <w:p>
      <w:pPr>
        <w:spacing w:after="60" w:before="180"/>
      </w:pPr>
      <w:r>
        <w:rPr>
          <w:b/>
          <w:bCs/>
          <w:color w:val="C8102E"/>
          <w:sz w:val="22"/>
          <w:szCs w:val="22"/>
        </w:rPr>
        <w:t xml:space="preserve">Q4. </w:t>
      </w:r>
      <w:r>
        <w:rPr>
          <w:b/>
          <w:bCs/>
          <w:color w:val="1A1A1A"/>
          <w:sz w:val="22"/>
          <w:szCs w:val="22"/>
        </w:rPr>
        <w:t xml:space="preserve">What is the role of the driver node in a cluster?</w:t>
      </w:r>
    </w:p>
    <w:p>
      <w:pPr>
        <w:spacing w:after="80"/>
      </w:pPr>
      <w:r>
        <w:rPr>
          <w:b/>
          <w:bCs/>
          <w:color w:val="16305C"/>
          <w:sz w:val="21"/>
          <w:szCs w:val="21"/>
        </w:rPr>
        <w:t xml:space="preserve">A. </w:t>
      </w:r>
      <w:r>
        <w:rPr>
          <w:color w:val="333333"/>
          <w:sz w:val="21"/>
          <w:szCs w:val="21"/>
        </w:rPr>
        <w:t xml:space="preserve">The driver node coordinates the overall Spark job, maintains the SparkContext, schedules tasks across worker nodes, and collects the final results.</w:t>
      </w:r>
    </w:p>
    <w:p>
      <w:pPr>
        <w:spacing w:after="60" w:before="180"/>
      </w:pPr>
      <w:r>
        <w:rPr>
          <w:b/>
          <w:bCs/>
          <w:color w:val="C8102E"/>
          <w:sz w:val="22"/>
          <w:szCs w:val="22"/>
        </w:rPr>
        <w:t xml:space="preserve">Q5. </w:t>
      </w:r>
      <w:r>
        <w:rPr>
          <w:b/>
          <w:bCs/>
          <w:color w:val="1A1A1A"/>
          <w:sz w:val="22"/>
          <w:szCs w:val="22"/>
        </w:rPr>
        <w:t xml:space="preserve">Why would a production pipeline use a job cluster instead of an all-purpose cluster?</w:t>
      </w:r>
    </w:p>
    <w:p>
      <w:pPr>
        <w:spacing w:after="80"/>
      </w:pPr>
      <w:r>
        <w:rPr>
          <w:b/>
          <w:bCs/>
          <w:color w:val="16305C"/>
          <w:sz w:val="21"/>
          <w:szCs w:val="21"/>
        </w:rPr>
        <w:t xml:space="preserve">A. </w:t>
      </w:r>
      <w:r>
        <w:rPr>
          <w:color w:val="333333"/>
          <w:sz w:val="21"/>
          <w:szCs w:val="21"/>
        </w:rPr>
        <w:t xml:space="preserve">Job clusters are cost-efficient since they exist only for the duration of the job, they are isolated per run reducing interference between jobs, and they terminate automatically, avoiding idle cluster costs.</w:t>
      </w:r>
    </w:p>
    <w:p>
      <w:pPr>
        <w:spacing w:after="60" w:before="180"/>
      </w:pPr>
      <w:r>
        <w:rPr>
          <w:b/>
          <w:bCs/>
          <w:color w:val="C8102E"/>
          <w:sz w:val="22"/>
          <w:szCs w:val="22"/>
        </w:rPr>
        <w:t xml:space="preserve">Q6. </w:t>
      </w:r>
      <w:r>
        <w:rPr>
          <w:b/>
          <w:bCs/>
          <w:color w:val="1A1A1A"/>
          <w:sz w:val="22"/>
          <w:szCs w:val="22"/>
        </w:rPr>
        <w:t xml:space="preserve">What does auto-termination do, and why does it matter?</w:t>
      </w:r>
    </w:p>
    <w:p>
      <w:pPr>
        <w:spacing w:after="80"/>
      </w:pPr>
      <w:r>
        <w:rPr>
          <w:b/>
          <w:bCs/>
          <w:color w:val="16305C"/>
          <w:sz w:val="21"/>
          <w:szCs w:val="21"/>
        </w:rPr>
        <w:t xml:space="preserve">A. </w:t>
      </w:r>
      <w:r>
        <w:rPr>
          <w:color w:val="333333"/>
          <w:sz w:val="21"/>
          <w:szCs w:val="21"/>
        </w:rPr>
        <w:t xml:space="preserve">Auto-termination automatically shuts down an idle all-purpose cluster after a set period of inactivity, which helps control cloud compute costs, especially important for shared development clusters left running unintentionally.</w:t>
      </w:r>
    </w:p>
    <w:p>
      <w:pPr>
        <w:spacing w:after="60" w:before="180"/>
      </w:pPr>
      <w:r>
        <w:rPr>
          <w:b/>
          <w:bCs/>
          <w:color w:val="C8102E"/>
          <w:sz w:val="22"/>
          <w:szCs w:val="22"/>
        </w:rPr>
        <w:t xml:space="preserve">Q7. </w:t>
      </w:r>
      <w:r>
        <w:rPr>
          <w:b/>
          <w:bCs/>
          <w:color w:val="1A1A1A"/>
          <w:sz w:val="22"/>
          <w:szCs w:val="22"/>
        </w:rPr>
        <w:t xml:space="preserve">What happens to packages installed using %pip when a cluster restarts?</w:t>
      </w:r>
    </w:p>
    <w:p>
      <w:pPr>
        <w:spacing w:after="80"/>
      </w:pPr>
      <w:r>
        <w:rPr>
          <w:b/>
          <w:bCs/>
          <w:color w:val="16305C"/>
          <w:sz w:val="21"/>
          <w:szCs w:val="21"/>
        </w:rPr>
        <w:t xml:space="preserve">A. </w:t>
      </w:r>
      <w:r>
        <w:rPr>
          <w:color w:val="333333"/>
          <w:sz w:val="21"/>
          <w:szCs w:val="21"/>
        </w:rPr>
        <w:t xml:space="preserve">They are lost, since clusters are ephemeral. Production teams typically manage dependencies through cluster-scoped libraries or requirements files instead of relying on ad-hoc %pip installs.</w:t>
      </w:r>
    </w:p>
    <w:p>
      <w:pPr>
        <w:spacing w:after="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8F0B20" w:val="clear"/>
            <w:tcMar>
              <w:top w:type="dxa" w:w="300"/>
              <w:left w:type="dxa" w:w="300"/>
              <w:bottom w:type="dxa" w:w="300"/>
              <w:right w:type="dxa" w:w="300"/>
            </w:tcMar>
          </w:tcPr>
          <w:p>
            <w:pPr>
              <w:jc w:val="center"/>
            </w:pPr>
            <w:r>
              <w:rPr>
                <w:b/>
                <w:bCs/>
                <w:color w:val="FFFFFF"/>
                <w:sz w:val="26"/>
                <w:szCs w:val="26"/>
              </w:rPr>
              <w:t xml:space="preserve">STAY ON TRACK FOR ALL 30 DAYS</w:t>
            </w:r>
          </w:p>
          <w:p>
            <w:pPr>
              <w:spacing w:before="140"/>
              <w:jc w:val="center"/>
            </w:pPr>
            <w:r>
              <w:rPr>
                <w:color w:val="FFFFFF"/>
                <w:sz w:val="22"/>
                <w:szCs w:val="22"/>
              </w:rPr>
              <w:t xml:space="preserve">Comment the keyword </w:t>
            </w:r>
            <w:r>
              <w:rPr>
                <w:b/>
                <w:bCs/>
                <w:color w:val="FFFFFF"/>
                <w:sz w:val="26"/>
                <w:szCs w:val="26"/>
              </w:rPr>
              <w:t xml:space="preserve">DATABRICKS</w:t>
            </w:r>
            <w:r>
              <w:rPr>
                <w:color w:val="FFFFFF"/>
                <w:sz w:val="22"/>
                <w:szCs w:val="22"/>
              </w:rPr>
              <w:t xml:space="preserve"> on the reel to get this document and future deep-dives sent directly to you.</w:t>
            </w:r>
          </w:p>
          <w:p>
            <w:pPr>
              <w:spacing w:before="200"/>
              <w:jc w:val="center"/>
            </w:pPr>
            <w:r>
              <w:rPr>
                <w:i/>
                <w:iCs/>
                <w:color w:val="F2C6CC"/>
                <w:sz w:val="20"/>
                <w:szCs w:val="20"/>
              </w:rPr>
              <w:t xml:space="preserve">Piyush Varma | The Data Engineer Lab</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 DATA ENGINEER LAB — DATABRICKS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2026-07-30T15:10:01.562Z</dcterms:created>
  <dcterms:modified xsi:type="dcterms:W3CDTF">2026-07-30T15:10:01.577Z</dcterms:modified>
</cp:coreProperties>
</file>

<file path=docProps/custom.xml><?xml version="1.0" encoding="utf-8"?>
<Properties xmlns="http://schemas.openxmlformats.org/officeDocument/2006/custom-properties" xmlns:vt="http://schemas.openxmlformats.org/officeDocument/2006/docPropsVTypes"/>
</file>