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6</w:t>
            </w:r>
          </w:p>
          <w:p>
            <w:pPr>
              <w:spacing w:before="80"/>
              <w:jc w:val="center"/>
            </w:pPr>
            <w:r>
              <w:rPr>
                <w:b/>
                <w:bCs/>
                <w:color w:val="FFFFFF"/>
                <w:sz w:val="26"/>
                <w:szCs w:val="26"/>
              </w:rPr>
              <w:t xml:space="preserve">The Databricks Pricing Model — DBUs Explained</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Why Databricks Sends You Two Bills</w:t>
            </w:r>
          </w:p>
        </w:tc>
      </w:tr>
    </w:tbl>
    <w:p>
      <w:pPr>
        <w:spacing w:after="160"/>
      </w:pPr>
      <w:r>
        <w:t xml:space="preserve"/>
      </w:r>
    </w:p>
    <w:p>
      <w:pPr>
        <w:spacing w:after="160"/>
      </w:pPr>
      <w:r>
        <w:rPr>
          <w:color w:val="222222"/>
          <w:sz w:val="22"/>
          <w:szCs w:val="22"/>
        </w:rPr>
        <w:t xml:space="preserve">One of the most common sources of confusion for teams new to Databricks is that cost does not come from a single invoice. Two separate bills are generated, from two separate parties, and understanding this split is the foundation of estimating and controlling Databricks spend.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50"/>
      </w:tblGrid>
      <w:tr>
        <w:tc>
          <w:tcPr>
            <w:tcW w:type="dxa" w:w="3200"/>
            <w:shd w:fill="0B1F3A" w:val="clear"/>
            <w:tcMar>
              <w:top w:type="dxa" w:w="120"/>
              <w:left w:type="dxa" w:w="140"/>
              <w:bottom w:type="dxa" w:w="120"/>
              <w:right w:type="dxa" w:w="140"/>
            </w:tcMar>
            <w:vAlign w:val="center"/>
          </w:tcPr>
          <w:p>
            <w:r>
              <w:rPr>
                <w:b/>
                <w:bCs/>
                <w:color w:val="FFFFFF"/>
                <w:sz w:val="20"/>
                <w:szCs w:val="20"/>
              </w:rPr>
              <w:t xml:space="preserve">Bill</w:t>
            </w:r>
          </w:p>
        </w:tc>
        <w:tc>
          <w:tcPr>
            <w:tcW w:type="dxa" w:w="2900"/>
            <w:shd w:fill="0B1F3A" w:val="clear"/>
            <w:tcMar>
              <w:top w:type="dxa" w:w="120"/>
              <w:left w:type="dxa" w:w="140"/>
              <w:bottom w:type="dxa" w:w="120"/>
              <w:right w:type="dxa" w:w="140"/>
            </w:tcMar>
            <w:vAlign w:val="center"/>
          </w:tcPr>
          <w:p>
            <w:r>
              <w:rPr>
                <w:b/>
                <w:bCs/>
                <w:color w:val="FFFFFF"/>
                <w:sz w:val="20"/>
                <w:szCs w:val="20"/>
              </w:rPr>
              <w:t xml:space="preserve">Who Charges It</w:t>
            </w:r>
          </w:p>
        </w:tc>
        <w:tc>
          <w:tcPr>
            <w:tcW w:type="dxa" w:w="3250"/>
            <w:shd w:fill="0B1F3A" w:val="clear"/>
            <w:tcMar>
              <w:top w:type="dxa" w:w="120"/>
              <w:left w:type="dxa" w:w="140"/>
              <w:bottom w:type="dxa" w:w="120"/>
              <w:right w:type="dxa" w:w="140"/>
            </w:tcMar>
            <w:vAlign w:val="center"/>
          </w:tcPr>
          <w:p>
            <w:r>
              <w:rPr>
                <w:b/>
                <w:bCs/>
                <w:color w:val="FFFFFF"/>
                <w:sz w:val="20"/>
                <w:szCs w:val="20"/>
              </w:rPr>
              <w:t xml:space="preserve">What It Covers</w:t>
            </w:r>
          </w:p>
        </w:tc>
      </w:tr>
      <w:tr>
        <w:tc>
          <w:tcPr>
            <w:tcW w:type="dxa" w:w="3200"/>
            <w:shd w:fill="FFFFFF" w:val="clear"/>
            <w:tcMar>
              <w:top w:type="dxa" w:w="110"/>
              <w:left w:type="dxa" w:w="140"/>
              <w:bottom w:type="dxa" w:w="110"/>
              <w:right w:type="dxa" w:w="140"/>
            </w:tcMar>
            <w:vAlign w:val="center"/>
          </w:tcPr>
          <w:p>
            <w:r>
              <w:rPr>
                <w:color w:val="222222"/>
                <w:sz w:val="20"/>
                <w:szCs w:val="20"/>
              </w:rPr>
              <w:t xml:space="preserve">Databricks Platform Bill</w:t>
            </w:r>
          </w:p>
        </w:tc>
        <w:tc>
          <w:tcPr>
            <w:tcW w:type="dxa" w:w="2900"/>
            <w:shd w:fill="FFFFFF" w:val="clear"/>
            <w:tcMar>
              <w:top w:type="dxa" w:w="110"/>
              <w:left w:type="dxa" w:w="140"/>
              <w:bottom w:type="dxa" w:w="110"/>
              <w:right w:type="dxa" w:w="140"/>
            </w:tcMar>
            <w:vAlign w:val="center"/>
          </w:tcPr>
          <w:p>
            <w:r>
              <w:rPr>
                <w:color w:val="222222"/>
                <w:sz w:val="20"/>
                <w:szCs w:val="20"/>
              </w:rPr>
              <w:t xml:space="preserve">Databricks</w:t>
            </w:r>
          </w:p>
        </w:tc>
        <w:tc>
          <w:tcPr>
            <w:tcW w:type="dxa" w:w="3250"/>
            <w:shd w:fill="FFFFFF" w:val="clear"/>
            <w:tcMar>
              <w:top w:type="dxa" w:w="110"/>
              <w:left w:type="dxa" w:w="140"/>
              <w:bottom w:type="dxa" w:w="110"/>
              <w:right w:type="dxa" w:w="140"/>
            </w:tcMar>
            <w:vAlign w:val="center"/>
          </w:tcPr>
          <w:p>
            <w:r>
              <w:rPr>
                <w:color w:val="222222"/>
                <w:sz w:val="20"/>
                <w:szCs w:val="20"/>
              </w:rPr>
              <w:t xml:space="preserve">Measured in DBUs, the platform and software layer cost.</w:t>
            </w:r>
          </w:p>
        </w:tc>
      </w:tr>
      <w:tr>
        <w:tc>
          <w:tcPr>
            <w:tcW w:type="dxa" w:w="3200"/>
            <w:shd w:fill="F2F2F2" w:val="clear"/>
            <w:tcMar>
              <w:top w:type="dxa" w:w="110"/>
              <w:left w:type="dxa" w:w="140"/>
              <w:bottom w:type="dxa" w:w="110"/>
              <w:right w:type="dxa" w:w="140"/>
            </w:tcMar>
            <w:vAlign w:val="center"/>
          </w:tcPr>
          <w:p>
            <w:r>
              <w:rPr>
                <w:color w:val="222222"/>
                <w:sz w:val="20"/>
                <w:szCs w:val="20"/>
              </w:rPr>
              <w:t xml:space="preserve">Cloud Infrastructure Bill</w:t>
            </w:r>
          </w:p>
        </w:tc>
        <w:tc>
          <w:tcPr>
            <w:tcW w:type="dxa" w:w="2900"/>
            <w:shd w:fill="F2F2F2" w:val="clear"/>
            <w:tcMar>
              <w:top w:type="dxa" w:w="110"/>
              <w:left w:type="dxa" w:w="140"/>
              <w:bottom w:type="dxa" w:w="110"/>
              <w:right w:type="dxa" w:w="140"/>
            </w:tcMar>
            <w:vAlign w:val="center"/>
          </w:tcPr>
          <w:p>
            <w:r>
              <w:rPr>
                <w:color w:val="222222"/>
                <w:sz w:val="20"/>
                <w:szCs w:val="20"/>
              </w:rPr>
              <w:t xml:space="preserve">AWS, Azure, or GCP</w:t>
            </w:r>
          </w:p>
        </w:tc>
        <w:tc>
          <w:tcPr>
            <w:tcW w:type="dxa" w:w="3250"/>
            <w:shd w:fill="F2F2F2" w:val="clear"/>
            <w:tcMar>
              <w:top w:type="dxa" w:w="110"/>
              <w:left w:type="dxa" w:w="140"/>
              <w:bottom w:type="dxa" w:w="110"/>
              <w:right w:type="dxa" w:w="140"/>
            </w:tcMar>
            <w:vAlign w:val="center"/>
          </w:tcPr>
          <w:p>
            <w:r>
              <w:rPr>
                <w:color w:val="222222"/>
                <w:sz w:val="20"/>
                <w:szCs w:val="20"/>
              </w:rPr>
              <w:t xml:space="preserve">VM compute, storage, and network egress costs.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Databricks charges for compute in Databricks Units, a normalized measure of processing power, while your cloud provider separately charges for the virtual machines that run those workloads, the storage that holds your data, and any network egress. These two bills are completely independent of each other.</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What Exactly Is a DBU</w:t>
            </w:r>
          </w:p>
        </w:tc>
      </w:tr>
    </w:tbl>
    <w:p>
      <w:pPr>
        <w:spacing w:after="160"/>
      </w:pPr>
      <w:r>
        <w:t xml:space="preserve"/>
      </w:r>
    </w:p>
    <w:p>
      <w:pPr>
        <w:spacing w:after="160"/>
      </w:pPr>
      <w:r>
        <w:rPr>
          <w:color w:val="222222"/>
          <w:sz w:val="22"/>
          <w:szCs w:val="22"/>
        </w:rPr>
        <w:t xml:space="preserve">A Databricks Unit, or DBU, is a normalized unit of processing capability. It exists so Databricks can charge consistently across a huge range of hardware, from small single-core instances to large multi-GPU machines, without pricing every VM type separately.</w:t>
      </w:r>
    </w:p>
    <w:p>
      <w:pPr>
        <w:pStyle w:val="ListParagraph"/>
        <w:numPr>
          <w:ilvl w:val="0"/>
          <w:numId w:val="1"/>
        </w:numPr>
        <w:spacing w:after="90"/>
      </w:pPr>
      <w:r>
        <w:rPr>
          <w:color w:val="222222"/>
          <w:sz w:val="22"/>
          <w:szCs w:val="22"/>
        </w:rPr>
        <w:t xml:space="preserve">DBUs are billed on a per-second usage basis, so a shorter job costs proportionally less than a longer one of the same type.</w:t>
      </w:r>
    </w:p>
    <w:p>
      <w:pPr>
        <w:pStyle w:val="ListParagraph"/>
        <w:numPr>
          <w:ilvl w:val="0"/>
          <w:numId w:val="1"/>
        </w:numPr>
        <w:spacing w:after="90"/>
      </w:pPr>
      <w:r>
        <w:rPr>
          <w:color w:val="222222"/>
          <w:sz w:val="22"/>
          <w:szCs w:val="22"/>
        </w:rPr>
        <w:t xml:space="preserve">DBU consumption depends on the size and type of instance running the workload; larger, more powerful instances consume DBUs faster.</w:t>
      </w:r>
    </w:p>
    <w:p>
      <w:pPr>
        <w:pStyle w:val="ListParagraph"/>
        <w:numPr>
          <w:ilvl w:val="0"/>
          <w:numId w:val="1"/>
        </w:numPr>
        <w:spacing w:after="90"/>
      </w:pPr>
      <w:r>
        <w:rPr>
          <w:color w:val="222222"/>
          <w:sz w:val="22"/>
          <w:szCs w:val="22"/>
        </w:rPr>
        <w:t xml:space="preserve">A DBU is not a direct equivalent to a CPU core, memory size, or GPU count. It reflects relative processing throughput rather than a specific hardware spec.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GOOD ANALOGY</w:t>
            </w:r>
          </w:p>
          <w:p>
            <w:r>
              <w:rPr>
                <w:color w:val="1A1A1A"/>
                <w:sz w:val="21"/>
                <w:szCs w:val="21"/>
              </w:rPr>
              <w:t xml:space="preserve">Think of a DBU like an electricity meter. The meter doesn't care which specific appliance is running, it just measures consumption. Similarly, a DBU measures processing power consumed, regardless of which cloud or VM type is underneath.</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What Determines Your DBU Rate</w:t>
            </w:r>
          </w:p>
        </w:tc>
      </w:tr>
    </w:tbl>
    <w:p>
      <w:pPr>
        <w:spacing w:after="160"/>
      </w:pPr>
      <w:r>
        <w:t xml:space="preserve"/>
      </w:r>
    </w:p>
    <w:p>
      <w:pPr>
        <w:spacing w:after="160"/>
      </w:pPr>
      <w:r>
        <w:rPr>
          <w:color w:val="222222"/>
          <w:sz w:val="22"/>
          <w:szCs w:val="22"/>
        </w:rPr>
        <w:t xml:space="preserve">The price you pay per DBU is not fixed. It changes based on several factors, which is why two teams running seemingly similar workloads can end up with very different bills.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Factor</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How It Affects Rate</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Workload Type</w:t>
            </w:r>
          </w:p>
        </w:tc>
        <w:tc>
          <w:tcPr>
            <w:tcW w:type="dxa" w:w="6750"/>
            <w:shd w:fill="FFFFFF" w:val="clear"/>
            <w:tcMar>
              <w:top w:type="dxa" w:w="110"/>
              <w:left w:type="dxa" w:w="140"/>
              <w:bottom w:type="dxa" w:w="110"/>
              <w:right w:type="dxa" w:w="140"/>
            </w:tcMar>
            <w:vAlign w:val="center"/>
          </w:tcPr>
          <w:p>
            <w:r>
              <w:rPr>
                <w:color w:val="222222"/>
                <w:sz w:val="20"/>
                <w:szCs w:val="20"/>
              </w:rPr>
              <w:t xml:space="preserve">Jobs compute, All-Purpose compute, and SQL compute are priced differently, since All-Purpose typically costs more than Jobs for the same instance.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Edition Tier</w:t>
            </w:r>
          </w:p>
        </w:tc>
        <w:tc>
          <w:tcPr>
            <w:tcW w:type="dxa" w:w="6750"/>
            <w:shd w:fill="F2F2F2" w:val="clear"/>
            <w:tcMar>
              <w:top w:type="dxa" w:w="110"/>
              <w:left w:type="dxa" w:w="140"/>
              <w:bottom w:type="dxa" w:w="110"/>
              <w:right w:type="dxa" w:w="140"/>
            </w:tcMar>
            <w:vAlign w:val="center"/>
          </w:tcPr>
          <w:p>
            <w:r>
              <w:rPr>
                <w:color w:val="222222"/>
                <w:sz w:val="20"/>
                <w:szCs w:val="20"/>
              </w:rPr>
              <w:t xml:space="preserve">Standard, Premium, and Enterprise tiers unlock more governance and security features, and the per-DBU rate increases with each tier.</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Instance Size and Type</w:t>
            </w:r>
          </w:p>
        </w:tc>
        <w:tc>
          <w:tcPr>
            <w:tcW w:type="dxa" w:w="6750"/>
            <w:shd w:fill="FFFFFF" w:val="clear"/>
            <w:tcMar>
              <w:top w:type="dxa" w:w="110"/>
              <w:left w:type="dxa" w:w="140"/>
              <w:bottom w:type="dxa" w:w="110"/>
              <w:right w:type="dxa" w:w="140"/>
            </w:tcMar>
            <w:vAlign w:val="center"/>
          </w:tcPr>
          <w:p>
            <w:r>
              <w:rPr>
                <w:color w:val="222222"/>
                <w:sz w:val="20"/>
                <w:szCs w:val="20"/>
              </w:rPr>
              <w:t xml:space="preserve">Larger, more powerful VM types consume DBUs at a higher rate per hour than smaller ones.</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Cloud Provider</w:t>
            </w:r>
          </w:p>
        </w:tc>
        <w:tc>
          <w:tcPr>
            <w:tcW w:type="dxa" w:w="6750"/>
            <w:shd w:fill="F2F2F2" w:val="clear"/>
            <w:tcMar>
              <w:top w:type="dxa" w:w="110"/>
              <w:left w:type="dxa" w:w="140"/>
              <w:bottom w:type="dxa" w:w="110"/>
              <w:right w:type="dxa" w:w="140"/>
            </w:tcMar>
            <w:vAlign w:val="center"/>
          </w:tcPr>
          <w:p>
            <w:r>
              <w:rPr>
                <w:color w:val="222222"/>
                <w:sz w:val="20"/>
                <w:szCs w:val="20"/>
              </w:rPr>
              <w:t xml:space="preserve">AWS, Azure, and GCP have their own DBU rates, which are generally similar but not identical.</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How a Databricks Bill Is Actually Built</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YOUR CLUSTER RUNS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v                          v</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  DATABRICKS BILL       |   |  CLOUD PROVIDER BILL       |</w:t>
            </w:r>
          </w:p>
          <w:p>
            <w:pPr>
              <w:spacing w:after="20"/>
            </w:pPr>
            <w:r>
              <w:rPr>
                <w:rFonts w:ascii="Consolas" w:cs="Consolas" w:eastAsia="Consolas" w:hAnsi="Consolas"/>
                <w:color w:val="E8E8E8"/>
                <w:sz w:val="19"/>
                <w:szCs w:val="19"/>
              </w:rPr>
              <w:t xml:space="preserve">  |  Measured in DBUs      |   |  VMs + Storage + Network    |</w:t>
            </w:r>
          </w:p>
          <w:p>
            <w:pPr>
              <w:spacing w:after="20"/>
            </w:pPr>
            <w:r>
              <w:rPr>
                <w:rFonts w:ascii="Consolas" w:cs="Consolas" w:eastAsia="Consolas" w:hAnsi="Consolas"/>
                <w:color w:val="E8E8E8"/>
                <w:sz w:val="19"/>
                <w:szCs w:val="19"/>
              </w:rPr>
              <w:t xml:space="preserve">  |  Rate depends on:      |   |  Billed at standard cloud   |</w:t>
            </w:r>
          </w:p>
          <w:p>
            <w:pPr>
              <w:spacing w:after="20"/>
            </w:pPr>
            <w:r>
              <w:rPr>
                <w:rFonts w:ascii="Consolas" w:cs="Consolas" w:eastAsia="Consolas" w:hAnsi="Consolas"/>
                <w:color w:val="E8E8E8"/>
                <w:sz w:val="19"/>
                <w:szCs w:val="19"/>
              </w:rPr>
              <w:t xml:space="preserve">  |   - Workload type      |   |  provider rates             |</w:t>
            </w:r>
          </w:p>
          <w:p>
            <w:pPr>
              <w:spacing w:after="20"/>
            </w:pPr>
            <w:r>
              <w:rPr>
                <w:rFonts w:ascii="Consolas" w:cs="Consolas" w:eastAsia="Consolas" w:hAnsi="Consolas"/>
                <w:color w:val="E8E8E8"/>
                <w:sz w:val="19"/>
                <w:szCs w:val="19"/>
              </w:rPr>
              <w:t xml:space="preserve">  |   - Edition tier       |   |                             |</w:t>
            </w:r>
          </w:p>
          <w:p>
            <w:pPr>
              <w:spacing w:after="20"/>
            </w:pPr>
            <w:r>
              <w:rPr>
                <w:rFonts w:ascii="Consolas" w:cs="Consolas" w:eastAsia="Consolas" w:hAnsi="Consolas"/>
                <w:color w:val="E8E8E8"/>
                <w:sz w:val="19"/>
                <w:szCs w:val="19"/>
              </w:rPr>
              <w:t xml:space="preserve">  |   - Instance size      |   |                             |</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YOUR TOTAL DATABRICKS SPEND</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If asked how Databricks pricing works, the strongest answer covers both halves: Databricks charges separately in DBUs for the software and platform layer, and the cloud provider charges separately for the underlying infrastructure. Treating it as a single bill is an incomplete answer.</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Practical Ways Teams Control DBU Spend</w:t>
            </w:r>
          </w:p>
        </w:tc>
      </w:tr>
    </w:tbl>
    <w:p>
      <w:pPr>
        <w:spacing w:after="160"/>
      </w:pPr>
      <w:r>
        <w:t xml:space="preserve"/>
      </w:r>
    </w:p>
    <w:p>
      <w:pPr>
        <w:pStyle w:val="ListParagraph"/>
        <w:numPr>
          <w:ilvl w:val="0"/>
          <w:numId w:val="1"/>
        </w:numPr>
        <w:spacing w:after="90"/>
      </w:pPr>
      <w:r>
        <w:rPr>
          <w:color w:val="222222"/>
          <w:sz w:val="22"/>
          <w:szCs w:val="22"/>
        </w:rPr>
        <w:t xml:space="preserve">Enable auto-termination on all-purpose clusters so idle time doesn't silently burn DBUs.</w:t>
      </w:r>
    </w:p>
    <w:p>
      <w:pPr>
        <w:pStyle w:val="ListParagraph"/>
        <w:numPr>
          <w:ilvl w:val="0"/>
          <w:numId w:val="1"/>
        </w:numPr>
        <w:spacing w:after="90"/>
      </w:pPr>
      <w:r>
        <w:rPr>
          <w:color w:val="222222"/>
          <w:sz w:val="22"/>
          <w:szCs w:val="22"/>
        </w:rPr>
        <w:t xml:space="preserve">Prefer job clusters over all-purpose clusters for scheduled production pipelines, since they only run for the job's duration.</w:t>
      </w:r>
    </w:p>
    <w:p>
      <w:pPr>
        <w:pStyle w:val="ListParagraph"/>
        <w:numPr>
          <w:ilvl w:val="0"/>
          <w:numId w:val="1"/>
        </w:numPr>
        <w:spacing w:after="90"/>
      </w:pPr>
      <w:r>
        <w:rPr>
          <w:color w:val="222222"/>
          <w:sz w:val="22"/>
          <w:szCs w:val="22"/>
        </w:rPr>
        <w:t xml:space="preserve">Use cluster policies to cap the maximum DBU-per-hour a cluster can consume, tying directly back to what you learned on Day 5.</w:t>
      </w:r>
    </w:p>
    <w:p>
      <w:pPr>
        <w:pStyle w:val="ListParagraph"/>
        <w:numPr>
          <w:ilvl w:val="0"/>
          <w:numId w:val="1"/>
        </w:numPr>
        <w:spacing w:after="90"/>
      </w:pPr>
      <w:r>
        <w:rPr>
          <w:color w:val="222222"/>
          <w:sz w:val="22"/>
          <w:szCs w:val="22"/>
        </w:rPr>
        <w:t xml:space="preserve">Use spot instances where applicable for batch or non-interactive workloads, which can significantly reduce the underlying cloud VM cost.</w:t>
      </w:r>
    </w:p>
    <w:p>
      <w:pPr>
        <w:pStyle w:val="ListParagraph"/>
        <w:numPr>
          <w:ilvl w:val="0"/>
          <w:numId w:val="1"/>
        </w:numPr>
        <w:spacing w:after="90"/>
      </w:pPr>
      <w:r>
        <w:rPr>
          <w:color w:val="222222"/>
          <w:sz w:val="22"/>
          <w:szCs w:val="22"/>
        </w:rPr>
        <w:t xml:space="preserve">Right-size instance types instead of defaulting to the largest available option for every workload.</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Glossary — Day 6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DBU (Databricks Unit)</w:t>
            </w:r>
          </w:p>
        </w:tc>
        <w:tc>
          <w:tcPr>
            <w:tcW w:type="dxa" w:w="6750"/>
            <w:shd w:fill="FFFFFF" w:val="clear"/>
            <w:tcMar>
              <w:top w:type="dxa" w:w="110"/>
              <w:left w:type="dxa" w:w="140"/>
              <w:bottom w:type="dxa" w:w="110"/>
              <w:right w:type="dxa" w:w="140"/>
            </w:tcMar>
            <w:vAlign w:val="center"/>
          </w:tcPr>
          <w:p>
            <w:r>
              <w:rPr>
                <w:color w:val="222222"/>
                <w:sz w:val="20"/>
                <w:szCs w:val="20"/>
              </w:rPr>
              <w:t xml:space="preserve">A normalized unit of processing capability, billed per second, used to measure Databricks platform usage.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Edition Tier</w:t>
            </w:r>
          </w:p>
        </w:tc>
        <w:tc>
          <w:tcPr>
            <w:tcW w:type="dxa" w:w="6750"/>
            <w:shd w:fill="F2F2F2" w:val="clear"/>
            <w:tcMar>
              <w:top w:type="dxa" w:w="110"/>
              <w:left w:type="dxa" w:w="140"/>
              <w:bottom w:type="dxa" w:w="110"/>
              <w:right w:type="dxa" w:w="140"/>
            </w:tcMar>
            <w:vAlign w:val="center"/>
          </w:tcPr>
          <w:p>
            <w:r>
              <w:rPr>
                <w:color w:val="222222"/>
                <w:sz w:val="20"/>
                <w:szCs w:val="20"/>
              </w:rPr>
              <w:t xml:space="preserve">Standard, Premium, or Enterprise; determines available features and the per-DBU rate.</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Workload Type</w:t>
            </w:r>
          </w:p>
        </w:tc>
        <w:tc>
          <w:tcPr>
            <w:tcW w:type="dxa" w:w="6750"/>
            <w:shd w:fill="FFFFFF" w:val="clear"/>
            <w:tcMar>
              <w:top w:type="dxa" w:w="110"/>
              <w:left w:type="dxa" w:w="140"/>
              <w:bottom w:type="dxa" w:w="110"/>
              <w:right w:type="dxa" w:w="140"/>
            </w:tcMar>
            <w:vAlign w:val="center"/>
          </w:tcPr>
          <w:p>
            <w:r>
              <w:rPr>
                <w:color w:val="222222"/>
                <w:sz w:val="20"/>
                <w:szCs w:val="20"/>
              </w:rPr>
              <w:t xml:space="preserve">The category of compute (Jobs, All-Purpose, or SQL) that partly determines the DBU rate.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Cloud Infrastructure Bill</w:t>
            </w:r>
          </w:p>
        </w:tc>
        <w:tc>
          <w:tcPr>
            <w:tcW w:type="dxa" w:w="6750"/>
            <w:shd w:fill="F2F2F2" w:val="clear"/>
            <w:tcMar>
              <w:top w:type="dxa" w:w="110"/>
              <w:left w:type="dxa" w:w="140"/>
              <w:bottom w:type="dxa" w:w="110"/>
              <w:right w:type="dxa" w:w="140"/>
            </w:tcMar>
            <w:vAlign w:val="center"/>
          </w:tcPr>
          <w:p>
            <w:r>
              <w:rPr>
                <w:color w:val="222222"/>
                <w:sz w:val="20"/>
                <w:szCs w:val="20"/>
              </w:rPr>
              <w:t xml:space="preserve">The separate bill from AWS, Azure, or GCP covering VM, storage, and network egress costs.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Spot Instance</w:t>
            </w:r>
          </w:p>
        </w:tc>
        <w:tc>
          <w:tcPr>
            <w:tcW w:type="dxa" w:w="6750"/>
            <w:shd w:fill="FFFFFF" w:val="clear"/>
            <w:tcMar>
              <w:top w:type="dxa" w:w="110"/>
              <w:left w:type="dxa" w:w="140"/>
              <w:bottom w:type="dxa" w:w="110"/>
              <w:right w:type="dxa" w:w="140"/>
            </w:tcMar>
            <w:vAlign w:val="center"/>
          </w:tcPr>
          <w:p>
            <w:r>
              <w:rPr>
                <w:color w:val="222222"/>
                <w:sz w:val="20"/>
                <w:szCs w:val="20"/>
              </w:rPr>
              <w:t xml:space="preserve">A discounted, interruptible cloud VM type useful for reducing costs on batch or non-interactive workloads.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What is a DBU?</w:t>
      </w:r>
    </w:p>
    <w:p>
      <w:pPr>
        <w:spacing w:after="80"/>
      </w:pPr>
      <w:r>
        <w:rPr>
          <w:b/>
          <w:bCs/>
          <w:color w:val="16305C"/>
          <w:sz w:val="21"/>
          <w:szCs w:val="21"/>
        </w:rPr>
        <w:t xml:space="preserve">A. </w:t>
      </w:r>
      <w:r>
        <w:rPr>
          <w:color w:val="333333"/>
          <w:sz w:val="21"/>
          <w:szCs w:val="21"/>
        </w:rPr>
        <w:t xml:space="preserve">A Databricks Unit, a normalized unit of processing capability billed per second, used to measure how much compute power a workload consumes on the Databricks platform.</w:t>
      </w:r>
    </w:p>
    <w:p>
      <w:pPr>
        <w:spacing w:after="60" w:before="180"/>
      </w:pPr>
      <w:r>
        <w:rPr>
          <w:b/>
          <w:bCs/>
          <w:color w:val="C8102E"/>
          <w:sz w:val="22"/>
          <w:szCs w:val="22"/>
        </w:rPr>
        <w:t xml:space="preserve">Q2. </w:t>
      </w:r>
      <w:r>
        <w:rPr>
          <w:b/>
          <w:bCs/>
          <w:color w:val="1A1A1A"/>
          <w:sz w:val="22"/>
          <w:szCs w:val="22"/>
        </w:rPr>
        <w:t xml:space="preserve">Why does a Databricks deployment generate two separate bills?</w:t>
      </w:r>
    </w:p>
    <w:p>
      <w:pPr>
        <w:spacing w:after="80"/>
      </w:pPr>
      <w:r>
        <w:rPr>
          <w:b/>
          <w:bCs/>
          <w:color w:val="16305C"/>
          <w:sz w:val="21"/>
          <w:szCs w:val="21"/>
        </w:rPr>
        <w:t xml:space="preserve">A. </w:t>
      </w:r>
      <w:r>
        <w:rPr>
          <w:color w:val="333333"/>
          <w:sz w:val="21"/>
          <w:szCs w:val="21"/>
        </w:rPr>
        <w:t xml:space="preserve">Because Databricks charges for the platform and software layer in DBUs, while the cloud provider separately charges for the underlying virtual machines, storage, and network egress. These are billed independently.</w:t>
      </w:r>
    </w:p>
    <w:p>
      <w:pPr>
        <w:spacing w:after="60" w:before="180"/>
      </w:pPr>
      <w:r>
        <w:rPr>
          <w:b/>
          <w:bCs/>
          <w:color w:val="C8102E"/>
          <w:sz w:val="22"/>
          <w:szCs w:val="22"/>
        </w:rPr>
        <w:t xml:space="preserve">Q3. </w:t>
      </w:r>
      <w:r>
        <w:rPr>
          <w:b/>
          <w:bCs/>
          <w:color w:val="1A1A1A"/>
          <w:sz w:val="22"/>
          <w:szCs w:val="22"/>
        </w:rPr>
        <w:t xml:space="preserve">What factors affect the DBU rate?</w:t>
      </w:r>
    </w:p>
    <w:p>
      <w:pPr>
        <w:spacing w:after="80"/>
      </w:pPr>
      <w:r>
        <w:rPr>
          <w:b/>
          <w:bCs/>
          <w:color w:val="16305C"/>
          <w:sz w:val="21"/>
          <w:szCs w:val="21"/>
        </w:rPr>
        <w:t xml:space="preserve">A. </w:t>
      </w:r>
      <w:r>
        <w:rPr>
          <w:color w:val="333333"/>
          <w:sz w:val="21"/>
          <w:szCs w:val="21"/>
        </w:rPr>
        <w:t xml:space="preserve">The workload type such as Jobs, All-Purpose, or SQL compute, the edition tier such as Standard, Premium, or Enterprise, and the instance size and type all affect the per-DBU rate.</w:t>
      </w:r>
    </w:p>
    <w:p>
      <w:pPr>
        <w:spacing w:after="60" w:before="180"/>
      </w:pPr>
      <w:r>
        <w:rPr>
          <w:b/>
          <w:bCs/>
          <w:color w:val="C8102E"/>
          <w:sz w:val="22"/>
          <w:szCs w:val="22"/>
        </w:rPr>
        <w:t xml:space="preserve">Q4. </w:t>
      </w:r>
      <w:r>
        <w:rPr>
          <w:b/>
          <w:bCs/>
          <w:color w:val="1A1A1A"/>
          <w:sz w:val="22"/>
          <w:szCs w:val="22"/>
        </w:rPr>
        <w:t xml:space="preserve">Is a DBU the same as a CPU core or amount of memory?</w:t>
      </w:r>
    </w:p>
    <w:p>
      <w:pPr>
        <w:spacing w:after="80"/>
      </w:pPr>
      <w:r>
        <w:rPr>
          <w:b/>
          <w:bCs/>
          <w:color w:val="16305C"/>
          <w:sz w:val="21"/>
          <w:szCs w:val="21"/>
        </w:rPr>
        <w:t xml:space="preserve">A. </w:t>
      </w:r>
      <w:r>
        <w:rPr>
          <w:color w:val="333333"/>
          <w:sz w:val="21"/>
          <w:szCs w:val="21"/>
        </w:rPr>
        <w:t xml:space="preserve">No. A DBU is not a direct equivalent to any single hardware spec. It reflects relative processing throughput, normalized so it can be applied consistently across very different instance types.</w:t>
      </w:r>
    </w:p>
    <w:p>
      <w:pPr>
        <w:spacing w:after="60" w:before="180"/>
      </w:pPr>
      <w:r>
        <w:rPr>
          <w:b/>
          <w:bCs/>
          <w:color w:val="C8102E"/>
          <w:sz w:val="22"/>
          <w:szCs w:val="22"/>
        </w:rPr>
        <w:t xml:space="preserve">Q5. </w:t>
      </w:r>
      <w:r>
        <w:rPr>
          <w:b/>
          <w:bCs/>
          <w:color w:val="1A1A1A"/>
          <w:sz w:val="22"/>
          <w:szCs w:val="22"/>
        </w:rPr>
        <w:t xml:space="preserve">How can a team reduce their DBU spend?</w:t>
      </w:r>
    </w:p>
    <w:p>
      <w:pPr>
        <w:spacing w:after="80"/>
      </w:pPr>
      <w:r>
        <w:rPr>
          <w:b/>
          <w:bCs/>
          <w:color w:val="16305C"/>
          <w:sz w:val="21"/>
          <w:szCs w:val="21"/>
        </w:rPr>
        <w:t xml:space="preserve">A. </w:t>
      </w:r>
      <w:r>
        <w:rPr>
          <w:color w:val="333333"/>
          <w:sz w:val="21"/>
          <w:szCs w:val="21"/>
        </w:rPr>
        <w:t xml:space="preserve">By enabling auto-termination on idle clusters, preferring job clusters for scheduled workloads, applying cluster policies to cap maximum DBU-per-hour usage, using spot instances where appropriate, and right-sizing instance types.</w:t>
      </w:r>
    </w:p>
    <w:p>
      <w:pPr>
        <w:spacing w:after="60" w:before="180"/>
      </w:pPr>
      <w:r>
        <w:rPr>
          <w:b/>
          <w:bCs/>
          <w:color w:val="C8102E"/>
          <w:sz w:val="22"/>
          <w:szCs w:val="22"/>
        </w:rPr>
        <w:t xml:space="preserve">Q6. </w:t>
      </w:r>
      <w:r>
        <w:rPr>
          <w:b/>
          <w:bCs/>
          <w:color w:val="1A1A1A"/>
          <w:sz w:val="22"/>
          <w:szCs w:val="22"/>
        </w:rPr>
        <w:t xml:space="preserve">Why might two teams running similar workloads see very different bills?</w:t>
      </w:r>
    </w:p>
    <w:p>
      <w:pPr>
        <w:spacing w:after="80"/>
      </w:pPr>
      <w:r>
        <w:rPr>
          <w:b/>
          <w:bCs/>
          <w:color w:val="16305C"/>
          <w:sz w:val="21"/>
          <w:szCs w:val="21"/>
        </w:rPr>
        <w:t xml:space="preserve">A. </w:t>
      </w:r>
      <w:r>
        <w:rPr>
          <w:color w:val="333333"/>
          <w:sz w:val="21"/>
          <w:szCs w:val="21"/>
        </w:rPr>
        <w:t xml:space="preserve">Because their DBU rate can differ based on workload type, edition tier, and instance size, and their cloud infrastructure bill can differ based on cloud provider, region, and VM pricing.</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2026-08-06T17:45:04.373Z</dcterms:created>
  <dcterms:modified xsi:type="dcterms:W3CDTF">2026-08-06T17:45:04.399Z</dcterms:modified>
</cp:coreProperties>
</file>

<file path=docProps/custom.xml><?xml version="1.0" encoding="utf-8"?>
<Properties xmlns="http://schemas.openxmlformats.org/officeDocument/2006/custom-properties" xmlns:vt="http://schemas.openxmlformats.org/officeDocument/2006/docPropsVTypes"/>
</file>