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widowControl/>
      </w:pPr>
      <w:r>
        <w:rPr>
          <w:b/>
          <w:color w:val="E25B4D"/>
          <w:sz w:val="22"/>
        </w:rPr>
        <w:t>DAY 29   /   DATABRICKS LEARNING SERIES</w:t>
      </w:r>
    </w:p>
    <w:p>
      <w:pPr>
        <w:pStyle w:val="Title"/>
        <w:widowControl/>
      </w:pPr>
      <w:r>
        <w:t>END-TO-END</w:t>
        <w:br/>
        <w:t>DATABRICKS</w:t>
        <w:br/>
        <w:t>ARCHITECTURE</w:t>
      </w:r>
    </w:p>
    <w:p>
      <w:pPr>
        <w:widowControl/>
      </w:pPr>
      <w:r>
        <w:rPr>
          <w:color w:val="2B7077"/>
          <w:sz w:val="32"/>
        </w:rPr>
        <w:t>A Practical Study Guide with an E-Commerce Case Study</w:t>
      </w:r>
    </w:p>
    <w:p>
      <w:pPr>
        <w:pStyle w:val="Subtitle"/>
        <w:widowControl/>
      </w:pPr>
      <w:r>
        <w:t>From source systems to ingestion, Bronze, Silver, Gold, BI, ML and production operations.</w:t>
      </w:r>
    </w:p>
    <w:p>
      <w:pPr>
        <w:spacing w:before="280"/>
        <w:widowControl/>
      </w:pPr>
      <w:r>
        <w:rPr>
          <w:b/>
        </w:rPr>
        <w:t>What you will learn</w:t>
      </w:r>
    </w:p>
    <w:p>
      <w:pPr>
        <w:pStyle w:val="ListBullet"/>
        <w:widowControl/>
      </w:pPr>
      <w:r>
        <w:t>How data physically moves from source systems into governed Delta tables</w:t>
      </w:r>
    </w:p>
    <w:p>
      <w:pPr>
        <w:pStyle w:val="ListBullet"/>
        <w:widowControl/>
      </w:pPr>
      <w:r>
        <w:t>How to design Bronze, Silver, and Gold with the correct grain and history</w:t>
      </w:r>
    </w:p>
    <w:p>
      <w:pPr>
        <w:pStyle w:val="ListBullet"/>
        <w:widowControl/>
      </w:pPr>
      <w:r>
        <w:t>Where Auto Loader, Lakeflow Connect, Lakeflow pipelines, Jobs and Unity Catalog fit</w:t>
      </w:r>
    </w:p>
    <w:p>
      <w:pPr>
        <w:pStyle w:val="ListBullet"/>
        <w:widowControl/>
      </w:pPr>
      <w:r>
        <w:t>How analytics, ML, CI/CD, data quality, security and recovery connect</w:t>
      </w:r>
    </w:p>
    <w:p>
      <w:pPr>
        <w:pStyle w:val="ListBullet"/>
        <w:widowControl/>
      </w:pPr>
      <w:r>
        <w:t>How to defend your design choices in a real architecture interview</w:t>
      </w:r>
    </w:p>
    <w:p>
      <w:pPr>
        <w:pStyle w:val="SmallLabel"/>
        <w:spacing w:before="200"/>
        <w:widowControl/>
      </w:pPr>
      <w:r>
        <w:t>TECHNICAL LEVEL   Beginner → Intermediate → Interview-ready</w:t>
      </w:r>
    </w:p>
    <w:p>
      <w:pPr>
        <w:pStyle w:val="SmallLabel"/>
        <w:widowControl/>
      </w:pPr>
      <w:r>
        <w:t>VERIFIED AGAINST OFFICIAL DATABRICKS DOCUMENTATION   10 OCTOBER 2026</w:t>
      </w:r>
    </w:p>
    <w:tbl>
      <w:tblPr>
        <w:tblW w:type="auto" w:w="0"/>
        <w:tblLayout w:type="fixed"/>
        <w:tblLook w:firstColumn="1" w:firstRow="1" w:lastColumn="0" w:lastRow="0" w:noHBand="0" w:noVBand="1" w:val="04A0"/>
      </w:tblPr>
      <w:tblGrid>
        <w:gridCol w:w="9864"/>
      </w:tblGrid>
      <w:tr>
        <w:tc>
          <w:tcPr>
            <w:tcW w:type="dxa" w:w="9936"/>
            <w:shd w:fill="E7F2F2"/>
            <w:tcMar>
              <w:top w:w="160" w:type="dxa"/>
              <w:start w:w="180" w:type="dxa"/>
              <w:bottom w:w="150" w:type="dxa"/>
              <w:end w:w="180" w:type="dxa"/>
            </w:tcMar>
          </w:tcPr>
          <w:p>
            <w:pPr>
              <w:spacing w:after="0"/>
            </w:pPr>
            <w:r>
              <w:rPr>
                <w:b/>
                <w:color w:val="267276"/>
                <w:sz w:val="18"/>
              </w:rPr>
              <w:t xml:space="preserve">SCOPE   </w:t>
            </w:r>
            <w:r>
              <w:rPr>
                <w:sz w:val="19"/>
              </w:rPr>
              <w:t>These are topic notes for learning and reference—not an on-camera script. Examples are illustrative and require environment-specific access, credentials and deployment configuration.</w:t>
            </w:r>
          </w:p>
        </w:tc>
      </w:tr>
    </w:tbl>
    <w:p>
      <w:pPr>
        <w:spacing w:after="20"/>
        <w:widowControl/>
      </w:pPr>
    </w:p>
    <w:p>
      <w:pPr>
        <w:widowControl/>
      </w:pPr>
      <w:r>
        <w:br w:type="page"/>
      </w:r>
    </w:p>
    <w:p>
      <w:pPr>
        <w:pStyle w:val="Heading1"/>
        <w:widowControl/>
      </w:pPr>
      <w:r>
        <w:t>01  The Big Picture</w:t>
      </w:r>
    </w:p>
    <w:p>
      <w:pPr>
        <w:widowControl/>
      </w:pPr>
      <w:r>
        <w:t>An end-to-end data architecture is more than a sequence of tools. It is a system for collecting data, preserving its meaning, improving quality, serving business questions, and operating reliably under security and cost constraints.</w:t>
      </w:r>
    </w:p>
    <w:p>
      <w:pPr>
        <w:widowControl/>
      </w:pPr>
      <w:r>
        <w:drawing>
          <wp:inline xmlns:a="http://schemas.openxmlformats.org/drawingml/2006/main" xmlns:pic="http://schemas.openxmlformats.org/drawingml/2006/picture">
            <wp:extent cx="6291072" cy="3075228"/>
            <wp:docPr id="1" name="Picture 1"/>
            <wp:cNvGraphicFramePr>
              <a:graphicFrameLocks noChangeAspect="1"/>
            </wp:cNvGraphicFramePr>
            <a:graphic>
              <a:graphicData uri="http://schemas.openxmlformats.org/drawingml/2006/picture">
                <pic:pic>
                  <pic:nvPicPr>
                    <pic:cNvPr id="0" name="day29_architecture_figure.png"/>
                    <pic:cNvPicPr/>
                  </pic:nvPicPr>
                  <pic:blipFill>
                    <a:blip r:embed="rId11"/>
                    <a:stretch>
                      <a:fillRect/>
                    </a:stretch>
                  </pic:blipFill>
                  <pic:spPr>
                    <a:xfrm>
                      <a:off x="0" y="0"/>
                      <a:ext cx="6291072" cy="3075228"/>
                    </a:xfrm>
                    <a:prstGeom prst="rect"/>
                  </pic:spPr>
                </pic:pic>
              </a:graphicData>
            </a:graphic>
          </wp:inline>
        </w:drawing>
      </w:r>
    </w:p>
    <w:p>
      <w:pPr>
        <w:pStyle w:val="SmallLabel"/>
        <w:widowControl/>
      </w:pPr>
      <w:r>
        <w:t>Figure 1. An example e-commerce architecture: sources → ingestion → Delta medallion layers → BI/ML, with governance and operations across the lifecycle.</w:t>
      </w:r>
    </w:p>
    <w:p>
      <w:pPr>
        <w:pStyle w:val="Heading2"/>
        <w:widowControl/>
      </w:pPr>
      <w:r>
        <w:t>Five building blocks</w:t>
      </w:r>
    </w:p>
    <w:tbl>
      <w:tblPr>
        <w:tblStyle w:val="TableGrid"/>
        <w:tblW w:type="auto" w:w="0"/>
        <w:jc w:val="center"/>
        <w:tblLayout w:type="fixed"/>
        <w:tblLook w:firstColumn="1" w:firstRow="1" w:lastColumn="0" w:lastRow="0" w:noHBand="0" w:noVBand="1" w:val="04A0"/>
      </w:tblPr>
      <w:tblGrid>
        <w:gridCol w:w="1742"/>
        <w:gridCol w:w="3456"/>
        <w:gridCol w:w="4579"/>
      </w:tblGrid>
      <w:tr>
        <w:trPr>
          <w:cantSplit/>
        </w:trPr>
        <w:tc>
          <w:tcPr>
            <w:tcW w:type="dxa" w:w="3312"/>
            <w:shd w:fill="1F3448"/>
            <w:vAlign w:val="center"/>
            <w:tcMar>
              <w:top w:w="92" w:type="dxa"/>
              <w:start w:w="125" w:type="dxa"/>
              <w:bottom w:w="92" w:type="dxa"/>
              <w:end w:w="125" w:type="dxa"/>
            </w:tcMar>
          </w:tcPr>
          <w:p>
            <w:r>
              <w:rPr>
                <w:b/>
                <w:color w:val="FFFFFF"/>
                <w:sz w:val="18"/>
              </w:rPr>
              <w:t>Building block</w:t>
            </w:r>
          </w:p>
        </w:tc>
        <w:tc>
          <w:tcPr>
            <w:tcW w:type="dxa" w:w="3312"/>
            <w:shd w:fill="1F3448"/>
            <w:vAlign w:val="center"/>
            <w:tcMar>
              <w:top w:w="92" w:type="dxa"/>
              <w:start w:w="125" w:type="dxa"/>
              <w:bottom w:w="92" w:type="dxa"/>
              <w:end w:w="125" w:type="dxa"/>
            </w:tcMar>
          </w:tcPr>
          <w:p>
            <w:r>
              <w:rPr>
                <w:b/>
                <w:color w:val="FFFFFF"/>
                <w:sz w:val="18"/>
              </w:rPr>
              <w:t>Question it answers</w:t>
            </w:r>
          </w:p>
        </w:tc>
        <w:tc>
          <w:tcPr>
            <w:tcW w:type="dxa" w:w="3312"/>
            <w:shd w:fill="1F3448"/>
            <w:vAlign w:val="center"/>
            <w:tcMar>
              <w:top w:w="92" w:type="dxa"/>
              <w:start w:w="125" w:type="dxa"/>
              <w:bottom w:w="92" w:type="dxa"/>
              <w:end w:w="125" w:type="dxa"/>
            </w:tcMar>
          </w:tcPr>
          <w:p>
            <w:r>
              <w:rPr>
                <w:b/>
                <w:color w:val="FFFFFF"/>
                <w:sz w:val="18"/>
              </w:rPr>
              <w:t>Typical Databricks capability</w:t>
            </w:r>
          </w:p>
        </w:tc>
      </w:tr>
      <w:tr>
        <w:trPr>
          <w:cantSplit/>
        </w:trPr>
        <w:tc>
          <w:tcPr>
            <w:tcW w:type="dxa" w:w="1742"/>
            <w:vAlign w:val="center"/>
            <w:tcMar>
              <w:top w:w="92" w:type="dxa"/>
              <w:start w:w="125" w:type="dxa"/>
              <w:bottom w:w="92" w:type="dxa"/>
              <w:end w:w="125" w:type="dxa"/>
            </w:tcMar>
          </w:tcPr>
          <w:p>
            <w:pPr>
              <w:spacing w:after="0"/>
            </w:pPr>
            <w:r>
              <w:rPr>
                <w:sz w:val="17"/>
              </w:rPr>
              <w:t>Source + ingest</w:t>
            </w:r>
          </w:p>
        </w:tc>
        <w:tc>
          <w:tcPr>
            <w:tcW w:type="dxa" w:w="3456"/>
            <w:vAlign w:val="center"/>
            <w:tcMar>
              <w:top w:w="92" w:type="dxa"/>
              <w:start w:w="125" w:type="dxa"/>
              <w:bottom w:w="92" w:type="dxa"/>
              <w:end w:w="125" w:type="dxa"/>
            </w:tcMar>
          </w:tcPr>
          <w:p>
            <w:pPr>
              <w:spacing w:after="0"/>
            </w:pPr>
            <w:r>
              <w:rPr>
                <w:sz w:val="17"/>
              </w:rPr>
              <w:t>Where does data originate? How is it captured?</w:t>
            </w:r>
          </w:p>
        </w:tc>
        <w:tc>
          <w:tcPr>
            <w:tcW w:type="dxa" w:w="4579"/>
            <w:vAlign w:val="center"/>
            <w:tcMar>
              <w:top w:w="92" w:type="dxa"/>
              <w:start w:w="125" w:type="dxa"/>
              <w:bottom w:w="92" w:type="dxa"/>
              <w:end w:w="125" w:type="dxa"/>
            </w:tcMar>
          </w:tcPr>
          <w:p>
            <w:pPr>
              <w:spacing w:after="0"/>
            </w:pPr>
            <w:r>
              <w:rPr>
                <w:sz w:val="17"/>
              </w:rPr>
              <w:t>Lakeflow Connect, Auto Loader, streaming / APIs</w:t>
            </w:r>
          </w:p>
        </w:tc>
      </w:tr>
      <w:tr>
        <w:trPr>
          <w:cantSplit/>
        </w:trPr>
        <w:tc>
          <w:tcPr>
            <w:tcW w:type="dxa" w:w="1742"/>
            <w:shd w:fill="F4F7FA"/>
            <w:vAlign w:val="center"/>
            <w:tcMar>
              <w:top w:w="92" w:type="dxa"/>
              <w:start w:w="125" w:type="dxa"/>
              <w:bottom w:w="92" w:type="dxa"/>
              <w:end w:w="125" w:type="dxa"/>
            </w:tcMar>
          </w:tcPr>
          <w:p>
            <w:pPr>
              <w:spacing w:after="0"/>
            </w:pPr>
            <w:r>
              <w:rPr>
                <w:sz w:val="17"/>
              </w:rPr>
              <w:t>Store + transform</w:t>
            </w:r>
          </w:p>
        </w:tc>
        <w:tc>
          <w:tcPr>
            <w:tcW w:type="dxa" w:w="3456"/>
            <w:shd w:fill="F4F7FA"/>
            <w:vAlign w:val="center"/>
            <w:tcMar>
              <w:top w:w="92" w:type="dxa"/>
              <w:start w:w="125" w:type="dxa"/>
              <w:bottom w:w="92" w:type="dxa"/>
              <w:end w:w="125" w:type="dxa"/>
            </w:tcMar>
          </w:tcPr>
          <w:p>
            <w:pPr>
              <w:spacing w:after="0"/>
            </w:pPr>
            <w:r>
              <w:rPr>
                <w:sz w:val="17"/>
              </w:rPr>
              <w:t>How is raw data retained, validated and modeled?</w:t>
            </w:r>
          </w:p>
        </w:tc>
        <w:tc>
          <w:tcPr>
            <w:tcW w:type="dxa" w:w="4579"/>
            <w:shd w:fill="F4F7FA"/>
            <w:vAlign w:val="center"/>
            <w:tcMar>
              <w:top w:w="92" w:type="dxa"/>
              <w:start w:w="125" w:type="dxa"/>
              <w:bottom w:w="92" w:type="dxa"/>
              <w:end w:w="125" w:type="dxa"/>
            </w:tcMar>
          </w:tcPr>
          <w:p>
            <w:pPr>
              <w:spacing w:after="0"/>
            </w:pPr>
            <w:r>
              <w:rPr>
                <w:sz w:val="17"/>
              </w:rPr>
              <w:t>Delta Lake, Lakeflow pipelines / Spark</w:t>
            </w:r>
          </w:p>
        </w:tc>
      </w:tr>
      <w:tr>
        <w:trPr>
          <w:cantSplit/>
        </w:trPr>
        <w:tc>
          <w:tcPr>
            <w:tcW w:type="dxa" w:w="1742"/>
            <w:vAlign w:val="center"/>
            <w:tcMar>
              <w:top w:w="92" w:type="dxa"/>
              <w:start w:w="125" w:type="dxa"/>
              <w:bottom w:w="92" w:type="dxa"/>
              <w:end w:w="125" w:type="dxa"/>
            </w:tcMar>
          </w:tcPr>
          <w:p>
            <w:pPr>
              <w:spacing w:after="0"/>
            </w:pPr>
            <w:r>
              <w:rPr>
                <w:sz w:val="17"/>
              </w:rPr>
              <w:t>Serve</w:t>
            </w:r>
          </w:p>
        </w:tc>
        <w:tc>
          <w:tcPr>
            <w:tcW w:type="dxa" w:w="3456"/>
            <w:vAlign w:val="center"/>
            <w:tcMar>
              <w:top w:w="92" w:type="dxa"/>
              <w:start w:w="125" w:type="dxa"/>
              <w:bottom w:w="92" w:type="dxa"/>
              <w:end w:w="125" w:type="dxa"/>
            </w:tcMar>
          </w:tcPr>
          <w:p>
            <w:pPr>
              <w:spacing w:after="0"/>
            </w:pPr>
            <w:r>
              <w:rPr>
                <w:sz w:val="17"/>
              </w:rPr>
              <w:t>How do people or applications consume it?</w:t>
            </w:r>
          </w:p>
        </w:tc>
        <w:tc>
          <w:tcPr>
            <w:tcW w:type="dxa" w:w="4579"/>
            <w:vAlign w:val="center"/>
            <w:tcMar>
              <w:top w:w="92" w:type="dxa"/>
              <w:start w:w="125" w:type="dxa"/>
              <w:bottom w:w="92" w:type="dxa"/>
              <w:end w:w="125" w:type="dxa"/>
            </w:tcMar>
          </w:tcPr>
          <w:p>
            <w:pPr>
              <w:spacing w:after="0"/>
            </w:pPr>
            <w:r>
              <w:rPr>
                <w:sz w:val="17"/>
              </w:rPr>
              <w:t>SQL Warehouses, dashboards, ML / Model Serving</w:t>
            </w:r>
          </w:p>
        </w:tc>
      </w:tr>
      <w:tr>
        <w:trPr>
          <w:cantSplit/>
        </w:trPr>
        <w:tc>
          <w:tcPr>
            <w:tcW w:type="dxa" w:w="1742"/>
            <w:shd w:fill="F4F7FA"/>
            <w:vAlign w:val="center"/>
            <w:tcMar>
              <w:top w:w="92" w:type="dxa"/>
              <w:start w:w="125" w:type="dxa"/>
              <w:bottom w:w="92" w:type="dxa"/>
              <w:end w:w="125" w:type="dxa"/>
            </w:tcMar>
          </w:tcPr>
          <w:p>
            <w:pPr>
              <w:spacing w:after="0"/>
            </w:pPr>
            <w:r>
              <w:rPr>
                <w:sz w:val="17"/>
              </w:rPr>
              <w:t>Govern</w:t>
            </w:r>
          </w:p>
        </w:tc>
        <w:tc>
          <w:tcPr>
            <w:tcW w:type="dxa" w:w="3456"/>
            <w:shd w:fill="F4F7FA"/>
            <w:vAlign w:val="center"/>
            <w:tcMar>
              <w:top w:w="92" w:type="dxa"/>
              <w:start w:w="125" w:type="dxa"/>
              <w:bottom w:w="92" w:type="dxa"/>
              <w:end w:w="125" w:type="dxa"/>
            </w:tcMar>
          </w:tcPr>
          <w:p>
            <w:pPr>
              <w:spacing w:after="0"/>
            </w:pPr>
            <w:r>
              <w:rPr>
                <w:sz w:val="17"/>
              </w:rPr>
              <w:t>Who can discover, access and trace it?</w:t>
            </w:r>
          </w:p>
        </w:tc>
        <w:tc>
          <w:tcPr>
            <w:tcW w:type="dxa" w:w="4579"/>
            <w:shd w:fill="F4F7FA"/>
            <w:vAlign w:val="center"/>
            <w:tcMar>
              <w:top w:w="92" w:type="dxa"/>
              <w:start w:w="125" w:type="dxa"/>
              <w:bottom w:w="92" w:type="dxa"/>
              <w:end w:w="125" w:type="dxa"/>
            </w:tcMar>
          </w:tcPr>
          <w:p>
            <w:pPr>
              <w:spacing w:after="0"/>
            </w:pPr>
            <w:r>
              <w:rPr>
                <w:sz w:val="17"/>
              </w:rPr>
              <w:t>Unity Catalog</w:t>
            </w:r>
          </w:p>
        </w:tc>
      </w:tr>
      <w:tr>
        <w:trPr>
          <w:cantSplit/>
        </w:trPr>
        <w:tc>
          <w:tcPr>
            <w:tcW w:type="dxa" w:w="1742"/>
            <w:vAlign w:val="center"/>
            <w:tcMar>
              <w:top w:w="92" w:type="dxa"/>
              <w:start w:w="125" w:type="dxa"/>
              <w:bottom w:w="92" w:type="dxa"/>
              <w:end w:w="125" w:type="dxa"/>
            </w:tcMar>
          </w:tcPr>
          <w:p>
            <w:pPr>
              <w:spacing w:after="0"/>
            </w:pPr>
            <w:r>
              <w:rPr>
                <w:sz w:val="17"/>
              </w:rPr>
              <w:t>Operate</w:t>
            </w:r>
          </w:p>
        </w:tc>
        <w:tc>
          <w:tcPr>
            <w:tcW w:type="dxa" w:w="3456"/>
            <w:vAlign w:val="center"/>
            <w:tcMar>
              <w:top w:w="92" w:type="dxa"/>
              <w:start w:w="125" w:type="dxa"/>
              <w:bottom w:w="92" w:type="dxa"/>
              <w:end w:w="125" w:type="dxa"/>
            </w:tcMar>
          </w:tcPr>
          <w:p>
            <w:pPr>
              <w:spacing w:after="0"/>
            </w:pPr>
            <w:r>
              <w:rPr>
                <w:sz w:val="17"/>
              </w:rPr>
              <w:t>How does it run, deploy, alert and recover?</w:t>
            </w:r>
          </w:p>
        </w:tc>
        <w:tc>
          <w:tcPr>
            <w:tcW w:type="dxa" w:w="4579"/>
            <w:vAlign w:val="center"/>
            <w:tcMar>
              <w:top w:w="92" w:type="dxa"/>
              <w:start w:w="125" w:type="dxa"/>
              <w:bottom w:w="92" w:type="dxa"/>
              <w:end w:w="125" w:type="dxa"/>
            </w:tcMar>
          </w:tcPr>
          <w:p>
            <w:pPr>
              <w:spacing w:after="0"/>
            </w:pPr>
            <w:r>
              <w:rPr>
                <w:sz w:val="17"/>
              </w:rPr>
              <w:t>Lakeflow Jobs, Declarative Automation Bundles</w:t>
            </w:r>
          </w:p>
        </w:tc>
      </w:tr>
    </w:tbl>
    <w:p>
      <w:pPr>
        <w:spacing w:after="20"/>
        <w:widowControl/>
      </w:pPr>
    </w:p>
    <w:tbl>
      <w:tblPr>
        <w:tblW w:type="auto" w:w="0"/>
        <w:tblLayout w:type="fixed"/>
        <w:tblLook w:firstColumn="1" w:firstRow="1" w:lastColumn="0" w:lastRow="0" w:noHBand="0" w:noVBand="1" w:val="04A0"/>
      </w:tblPr>
      <w:tblGrid>
        <w:gridCol w:w="9864"/>
      </w:tblGrid>
      <w:tr>
        <w:tc>
          <w:tcPr>
            <w:tcW w:type="dxa" w:w="9936"/>
            <w:shd w:fill="E7F2F2"/>
            <w:tcMar>
              <w:top w:w="160" w:type="dxa"/>
              <w:start w:w="180" w:type="dxa"/>
              <w:bottom w:w="150" w:type="dxa"/>
              <w:end w:w="180" w:type="dxa"/>
            </w:tcMar>
          </w:tcPr>
          <w:p>
            <w:pPr>
              <w:spacing w:after="0"/>
            </w:pPr>
            <w:r>
              <w:rPr>
                <w:b/>
                <w:color w:val="267276"/>
                <w:sz w:val="18"/>
              </w:rPr>
              <w:t xml:space="preserve">IMPORTANT DISTINCTION   </w:t>
            </w:r>
            <w:r>
              <w:rPr>
                <w:sz w:val="19"/>
              </w:rPr>
              <w:t>“Bronze/Silver/Gold” describe data-quality and consumption layers. They are not Databricks compute products. A Unity Catalog catalog/schema can be organized by environment, layer, source, or business domain; the medallion pattern is recommended but optional.</w:t>
            </w:r>
          </w:p>
        </w:tc>
      </w:tr>
    </w:tbl>
    <w:p>
      <w:pPr>
        <w:spacing w:after="20"/>
        <w:widowControl/>
      </w:pPr>
    </w:p>
    <w:p>
      <w:pPr>
        <w:pStyle w:val="Heading2"/>
        <w:widowControl/>
      </w:pPr>
      <w:r>
        <w:t>Where the bytes actually live</w:t>
      </w:r>
    </w:p>
    <w:p>
      <w:pPr>
        <w:widowControl/>
      </w:pPr>
      <w:r>
        <w:t>For a cloud lakehouse, Delta table data and transaction logs live in cloud object storage (such as S3, ADLS Gen2, or GCS). Spark/SQL compute reads and writes that storage. Unity Catalog governs registered assets, privileges and metadata; it is not a substitute for storage. Databricks also has a control-plane / compute-plane architecture, which is different from the Bronze/Silver/Gold data pattern.</w:t>
      </w:r>
    </w:p>
    <w:p>
      <w:pPr>
        <w:pStyle w:val="Heading1"/>
        <w:widowControl/>
      </w:pPr>
      <w:r>
        <w:t>02  Business Case: E-Commerce Company</w:t>
      </w:r>
    </w:p>
    <w:p>
      <w:pPr>
        <w:widowControl/>
      </w:pPr>
      <w:r>
        <w:t>Imagine an online retailer with four sources and two outcomes. Leadership needs daily net revenue and fulfillment dashboards. The data-science team wants a fraud-risk model. The architecture must keep change history, handle duplicate deliveries, protect customer data, and be rerunnable.</w:t>
      </w:r>
    </w:p>
    <w:tbl>
      <w:tblPr>
        <w:tblStyle w:val="TableGrid"/>
        <w:tblW w:type="auto" w:w="0"/>
        <w:jc w:val="center"/>
        <w:tblLayout w:type="fixed"/>
        <w:tblLook w:firstColumn="1" w:firstRow="1" w:lastColumn="0" w:lastRow="0" w:noHBand="0" w:noVBand="1" w:val="04A0"/>
      </w:tblPr>
      <w:tblGrid>
        <w:gridCol w:w="2059"/>
        <w:gridCol w:w="3528"/>
        <w:gridCol w:w="2693"/>
        <w:gridCol w:w="1642"/>
      </w:tblGrid>
      <w:tr>
        <w:trPr>
          <w:cantSplit/>
        </w:trPr>
        <w:tc>
          <w:tcPr>
            <w:tcW w:type="dxa" w:w="2484"/>
            <w:shd w:fill="1F3448"/>
            <w:vAlign w:val="center"/>
            <w:tcMar>
              <w:top w:w="92" w:type="dxa"/>
              <w:start w:w="125" w:type="dxa"/>
              <w:bottom w:w="92" w:type="dxa"/>
              <w:end w:w="125" w:type="dxa"/>
            </w:tcMar>
          </w:tcPr>
          <w:p>
            <w:r>
              <w:rPr>
                <w:b/>
                <w:color w:val="FFFFFF"/>
                <w:sz w:val="18"/>
              </w:rPr>
              <w:t>System</w:t>
            </w:r>
          </w:p>
        </w:tc>
        <w:tc>
          <w:tcPr>
            <w:tcW w:type="dxa" w:w="2484"/>
            <w:shd w:fill="1F3448"/>
            <w:vAlign w:val="center"/>
            <w:tcMar>
              <w:top w:w="92" w:type="dxa"/>
              <w:start w:w="125" w:type="dxa"/>
              <w:bottom w:w="92" w:type="dxa"/>
              <w:end w:w="125" w:type="dxa"/>
            </w:tcMar>
          </w:tcPr>
          <w:p>
            <w:r>
              <w:rPr>
                <w:b/>
                <w:color w:val="FFFFFF"/>
                <w:sz w:val="18"/>
              </w:rPr>
              <w:t>Example input</w:t>
            </w:r>
          </w:p>
        </w:tc>
        <w:tc>
          <w:tcPr>
            <w:tcW w:type="dxa" w:w="2484"/>
            <w:shd w:fill="1F3448"/>
            <w:vAlign w:val="center"/>
            <w:tcMar>
              <w:top w:w="92" w:type="dxa"/>
              <w:start w:w="125" w:type="dxa"/>
              <w:bottom w:w="92" w:type="dxa"/>
              <w:end w:w="125" w:type="dxa"/>
            </w:tcMar>
          </w:tcPr>
          <w:p>
            <w:r>
              <w:rPr>
                <w:b/>
                <w:color w:val="FFFFFF"/>
                <w:sz w:val="18"/>
              </w:rPr>
              <w:t>Change pattern</w:t>
            </w:r>
          </w:p>
        </w:tc>
        <w:tc>
          <w:tcPr>
            <w:tcW w:type="dxa" w:w="2484"/>
            <w:shd w:fill="1F3448"/>
            <w:vAlign w:val="center"/>
            <w:tcMar>
              <w:top w:w="92" w:type="dxa"/>
              <w:start w:w="125" w:type="dxa"/>
              <w:bottom w:w="92" w:type="dxa"/>
              <w:end w:w="125" w:type="dxa"/>
            </w:tcMar>
          </w:tcPr>
          <w:p>
            <w:r>
              <w:rPr>
                <w:b/>
                <w:color w:val="FFFFFF"/>
                <w:sz w:val="18"/>
              </w:rPr>
              <w:t>Latency goal</w:t>
            </w:r>
          </w:p>
        </w:tc>
      </w:tr>
      <w:tr>
        <w:trPr>
          <w:cantSplit/>
        </w:trPr>
        <w:tc>
          <w:tcPr>
            <w:tcW w:type="dxa" w:w="2059"/>
            <w:vAlign w:val="center"/>
            <w:tcMar>
              <w:top w:w="92" w:type="dxa"/>
              <w:start w:w="125" w:type="dxa"/>
              <w:bottom w:w="92" w:type="dxa"/>
              <w:end w:w="125" w:type="dxa"/>
            </w:tcMar>
          </w:tcPr>
          <w:p>
            <w:pPr>
              <w:spacing w:after="0"/>
            </w:pPr>
            <w:r>
              <w:rPr>
                <w:sz w:val="17"/>
              </w:rPr>
              <w:t>Orders SQL database</w:t>
            </w:r>
          </w:p>
        </w:tc>
        <w:tc>
          <w:tcPr>
            <w:tcW w:type="dxa" w:w="3528"/>
            <w:vAlign w:val="center"/>
            <w:tcMar>
              <w:top w:w="92" w:type="dxa"/>
              <w:start w:w="125" w:type="dxa"/>
              <w:bottom w:w="92" w:type="dxa"/>
              <w:end w:w="125" w:type="dxa"/>
            </w:tcMar>
          </w:tcPr>
          <w:p>
            <w:pPr>
              <w:spacing w:after="0"/>
            </w:pPr>
            <w:r>
              <w:rPr>
                <w:sz w:val="17"/>
              </w:rPr>
              <w:t>orders, order_items, customers</w:t>
            </w:r>
          </w:p>
        </w:tc>
        <w:tc>
          <w:tcPr>
            <w:tcW w:type="dxa" w:w="2693"/>
            <w:vAlign w:val="center"/>
            <w:tcMar>
              <w:top w:w="92" w:type="dxa"/>
              <w:start w:w="125" w:type="dxa"/>
              <w:bottom w:w="92" w:type="dxa"/>
              <w:end w:w="125" w:type="dxa"/>
            </w:tcMar>
          </w:tcPr>
          <w:p>
            <w:pPr>
              <w:spacing w:after="0"/>
            </w:pPr>
            <w:r>
              <w:rPr>
                <w:sz w:val="17"/>
              </w:rPr>
              <w:t>Inserts / updates / deletes (CDC)</w:t>
            </w:r>
          </w:p>
        </w:tc>
        <w:tc>
          <w:tcPr>
            <w:tcW w:type="dxa" w:w="1642"/>
            <w:vAlign w:val="center"/>
            <w:tcMar>
              <w:top w:w="92" w:type="dxa"/>
              <w:start w:w="125" w:type="dxa"/>
              <w:bottom w:w="92" w:type="dxa"/>
              <w:end w:w="125" w:type="dxa"/>
            </w:tcMar>
          </w:tcPr>
          <w:p>
            <w:pPr>
              <w:spacing w:after="0"/>
            </w:pPr>
            <w:r>
              <w:rPr>
                <w:sz w:val="17"/>
              </w:rPr>
              <w:t>15–30 min</w:t>
            </w:r>
          </w:p>
        </w:tc>
      </w:tr>
      <w:tr>
        <w:trPr>
          <w:cantSplit/>
        </w:trPr>
        <w:tc>
          <w:tcPr>
            <w:tcW w:type="dxa" w:w="2059"/>
            <w:shd w:fill="F4F7FA"/>
            <w:vAlign w:val="center"/>
            <w:tcMar>
              <w:top w:w="92" w:type="dxa"/>
              <w:start w:w="125" w:type="dxa"/>
              <w:bottom w:w="92" w:type="dxa"/>
              <w:end w:w="125" w:type="dxa"/>
            </w:tcMar>
          </w:tcPr>
          <w:p>
            <w:pPr>
              <w:spacing w:after="0"/>
            </w:pPr>
            <w:r>
              <w:rPr>
                <w:sz w:val="17"/>
              </w:rPr>
              <w:t>Payment platform API</w:t>
            </w:r>
          </w:p>
        </w:tc>
        <w:tc>
          <w:tcPr>
            <w:tcW w:type="dxa" w:w="3528"/>
            <w:shd w:fill="F4F7FA"/>
            <w:vAlign w:val="center"/>
            <w:tcMar>
              <w:top w:w="92" w:type="dxa"/>
              <w:start w:w="125" w:type="dxa"/>
              <w:bottom w:w="92" w:type="dxa"/>
              <w:end w:w="125" w:type="dxa"/>
            </w:tcMar>
          </w:tcPr>
          <w:p>
            <w:pPr>
              <w:spacing w:after="0"/>
            </w:pPr>
            <w:r>
              <w:rPr>
                <w:sz w:val="17"/>
              </w:rPr>
              <w:t>authorizations, captures, refunds</w:t>
            </w:r>
          </w:p>
        </w:tc>
        <w:tc>
          <w:tcPr>
            <w:tcW w:type="dxa" w:w="2693"/>
            <w:shd w:fill="F4F7FA"/>
            <w:vAlign w:val="center"/>
            <w:tcMar>
              <w:top w:w="92" w:type="dxa"/>
              <w:start w:w="125" w:type="dxa"/>
              <w:bottom w:w="92" w:type="dxa"/>
              <w:end w:w="125" w:type="dxa"/>
            </w:tcMar>
          </w:tcPr>
          <w:p>
            <w:pPr>
              <w:spacing w:after="0"/>
            </w:pPr>
            <w:r>
              <w:rPr>
                <w:sz w:val="17"/>
              </w:rPr>
              <w:t>Append/event updates + pagination</w:t>
            </w:r>
          </w:p>
        </w:tc>
        <w:tc>
          <w:tcPr>
            <w:tcW w:type="dxa" w:w="1642"/>
            <w:shd w:fill="F4F7FA"/>
            <w:vAlign w:val="center"/>
            <w:tcMar>
              <w:top w:w="92" w:type="dxa"/>
              <w:start w:w="125" w:type="dxa"/>
              <w:bottom w:w="92" w:type="dxa"/>
              <w:end w:w="125" w:type="dxa"/>
            </w:tcMar>
          </w:tcPr>
          <w:p>
            <w:pPr>
              <w:spacing w:after="0"/>
            </w:pPr>
            <w:r>
              <w:rPr>
                <w:sz w:val="17"/>
              </w:rPr>
              <w:t>15–30 min</w:t>
            </w:r>
          </w:p>
        </w:tc>
      </w:tr>
      <w:tr>
        <w:trPr>
          <w:cantSplit/>
        </w:trPr>
        <w:tc>
          <w:tcPr>
            <w:tcW w:type="dxa" w:w="2059"/>
            <w:vAlign w:val="center"/>
            <w:tcMar>
              <w:top w:w="92" w:type="dxa"/>
              <w:start w:w="125" w:type="dxa"/>
              <w:bottom w:w="92" w:type="dxa"/>
              <w:end w:w="125" w:type="dxa"/>
            </w:tcMar>
          </w:tcPr>
          <w:p>
            <w:pPr>
              <w:spacing w:after="0"/>
            </w:pPr>
            <w:r>
              <w:rPr>
                <w:sz w:val="17"/>
              </w:rPr>
              <w:t>Partner object storage</w:t>
            </w:r>
          </w:p>
        </w:tc>
        <w:tc>
          <w:tcPr>
            <w:tcW w:type="dxa" w:w="3528"/>
            <w:vAlign w:val="center"/>
            <w:tcMar>
              <w:top w:w="92" w:type="dxa"/>
              <w:start w:w="125" w:type="dxa"/>
              <w:bottom w:w="92" w:type="dxa"/>
              <w:end w:w="125" w:type="dxa"/>
            </w:tcMar>
          </w:tcPr>
          <w:p>
            <w:pPr>
              <w:spacing w:after="0"/>
            </w:pPr>
            <w:r>
              <w:rPr>
                <w:sz w:val="17"/>
              </w:rPr>
              <w:t>inventory_YYYYMMDD.csv</w:t>
            </w:r>
          </w:p>
        </w:tc>
        <w:tc>
          <w:tcPr>
            <w:tcW w:type="dxa" w:w="2693"/>
            <w:vAlign w:val="center"/>
            <w:tcMar>
              <w:top w:w="92" w:type="dxa"/>
              <w:start w:w="125" w:type="dxa"/>
              <w:bottom w:w="92" w:type="dxa"/>
              <w:end w:w="125" w:type="dxa"/>
            </w:tcMar>
          </w:tcPr>
          <w:p>
            <w:pPr>
              <w:spacing w:after="0"/>
            </w:pPr>
            <w:r>
              <w:rPr>
                <w:sz w:val="17"/>
              </w:rPr>
              <w:t>New CSV files each day</w:t>
            </w:r>
          </w:p>
        </w:tc>
        <w:tc>
          <w:tcPr>
            <w:tcW w:type="dxa" w:w="1642"/>
            <w:vAlign w:val="center"/>
            <w:tcMar>
              <w:top w:w="92" w:type="dxa"/>
              <w:start w:w="125" w:type="dxa"/>
              <w:bottom w:w="92" w:type="dxa"/>
              <w:end w:w="125" w:type="dxa"/>
            </w:tcMar>
          </w:tcPr>
          <w:p>
            <w:pPr>
              <w:spacing w:after="0"/>
            </w:pPr>
            <w:r>
              <w:rPr>
                <w:sz w:val="17"/>
              </w:rPr>
              <w:t>Daily</w:t>
            </w:r>
          </w:p>
        </w:tc>
      </w:tr>
      <w:tr>
        <w:trPr>
          <w:cantSplit/>
        </w:trPr>
        <w:tc>
          <w:tcPr>
            <w:tcW w:type="dxa" w:w="2059"/>
            <w:shd w:fill="F4F7FA"/>
            <w:vAlign w:val="center"/>
            <w:tcMar>
              <w:top w:w="92" w:type="dxa"/>
              <w:start w:w="125" w:type="dxa"/>
              <w:bottom w:w="92" w:type="dxa"/>
              <w:end w:w="125" w:type="dxa"/>
            </w:tcMar>
          </w:tcPr>
          <w:p>
            <w:pPr>
              <w:spacing w:after="0"/>
            </w:pPr>
            <w:r>
              <w:rPr>
                <w:sz w:val="17"/>
              </w:rPr>
              <w:t>App events (optional)</w:t>
            </w:r>
          </w:p>
        </w:tc>
        <w:tc>
          <w:tcPr>
            <w:tcW w:type="dxa" w:w="3528"/>
            <w:shd w:fill="F4F7FA"/>
            <w:vAlign w:val="center"/>
            <w:tcMar>
              <w:top w:w="92" w:type="dxa"/>
              <w:start w:w="125" w:type="dxa"/>
              <w:bottom w:w="92" w:type="dxa"/>
              <w:end w:w="125" w:type="dxa"/>
            </w:tcMar>
          </w:tcPr>
          <w:p>
            <w:pPr>
              <w:spacing w:after="0"/>
            </w:pPr>
            <w:r>
              <w:rPr>
                <w:sz w:val="17"/>
              </w:rPr>
              <w:t>page views, add-to-cart events</w:t>
            </w:r>
          </w:p>
        </w:tc>
        <w:tc>
          <w:tcPr>
            <w:tcW w:type="dxa" w:w="2693"/>
            <w:shd w:fill="F4F7FA"/>
            <w:vAlign w:val="center"/>
            <w:tcMar>
              <w:top w:w="92" w:type="dxa"/>
              <w:start w:w="125" w:type="dxa"/>
              <w:bottom w:w="92" w:type="dxa"/>
              <w:end w:w="125" w:type="dxa"/>
            </w:tcMar>
          </w:tcPr>
          <w:p>
            <w:pPr>
              <w:spacing w:after="0"/>
            </w:pPr>
            <w:r>
              <w:rPr>
                <w:sz w:val="17"/>
              </w:rPr>
              <w:t>Kafka / event stream</w:t>
            </w:r>
          </w:p>
        </w:tc>
        <w:tc>
          <w:tcPr>
            <w:tcW w:type="dxa" w:w="1642"/>
            <w:shd w:fill="F4F7FA"/>
            <w:vAlign w:val="center"/>
            <w:tcMar>
              <w:top w:w="92" w:type="dxa"/>
              <w:start w:w="125" w:type="dxa"/>
              <w:bottom w:w="92" w:type="dxa"/>
              <w:end w:w="125" w:type="dxa"/>
            </w:tcMar>
          </w:tcPr>
          <w:p>
            <w:pPr>
              <w:spacing w:after="0"/>
            </w:pPr>
            <w:r>
              <w:rPr>
                <w:sz w:val="17"/>
              </w:rPr>
              <w:t>Near-real-time</w:t>
            </w:r>
          </w:p>
        </w:tc>
      </w:tr>
    </w:tbl>
    <w:p>
      <w:pPr>
        <w:spacing w:after="20"/>
        <w:widowControl/>
      </w:pPr>
    </w:p>
    <w:p>
      <w:pPr>
        <w:pStyle w:val="Heading2"/>
        <w:widowControl/>
      </w:pPr>
      <w:r>
        <w:t>Illustrative source records</w:t>
      </w:r>
    </w:p>
    <w:tbl>
      <w:tblPr>
        <w:tblW w:type="auto" w:w="0"/>
        <w:tblLayout w:type="fixed"/>
        <w:tblLook w:firstColumn="1" w:firstRow="1" w:lastColumn="0" w:lastRow="0" w:noHBand="0" w:noVBand="1" w:val="04A0"/>
      </w:tblPr>
      <w:tblGrid>
        <w:gridCol w:w="9850"/>
      </w:tblGrid>
      <w:tr>
        <w:trPr>
          <w:cantSplit/>
        </w:trPr>
        <w:tc>
          <w:tcPr>
            <w:tcW w:type="dxa" w:w="9936"/>
            <w:shd w:fill="EDF1F5"/>
            <w:tcMar>
              <w:top w:w="130" w:type="dxa"/>
              <w:start w:w="140" w:type="dxa"/>
              <w:bottom w:w="130" w:type="dxa"/>
              <w:end w:w="140" w:type="dxa"/>
            </w:tcMar>
            <w:vAlign w:val="center"/>
            <w:tcMar>
              <w:top w:w="92" w:type="dxa"/>
              <w:start w:w="125" w:type="dxa"/>
              <w:bottom w:w="92" w:type="dxa"/>
              <w:end w:w="125" w:type="dxa"/>
            </w:tcMar>
          </w:tcPr>
          <w:p>
            <w:pPr>
              <w:pStyle w:val="CodeBlock"/>
              <w:spacing w:after="0"/>
            </w:pPr>
            <w:r/>
            <w:r>
              <w:t>orders:    order_id=O-101, customer_id=C-7, status=SHIPPED, amount=1200.00, updated_at=10:05</w:t>
            </w:r>
          </w:p>
          <w:p>
            <w:pPr>
              <w:pStyle w:val="CodeBlock"/>
              <w:spacing w:after="0"/>
            </w:pPr>
            <w:r>
              <w:t>payments:  payment_id=P-8, order_id=O-101, type=CAPTURE, amount=1200.00</w:t>
            </w:r>
          </w:p>
          <w:p>
            <w:pPr>
              <w:pStyle w:val="CodeBlock"/>
              <w:spacing w:after="0"/>
            </w:pPr>
            <w:r>
              <w:t>inventory: SKU-20, partner=SUP-2, available_qty=34, file_date=2026-10-10</w:t>
            </w:r>
          </w:p>
        </w:tc>
      </w:tr>
    </w:tbl>
    <w:p>
      <w:pPr>
        <w:spacing w:after="40"/>
        <w:widowControl/>
      </w:pPr>
    </w:p>
    <w:p>
      <w:pPr>
        <w:widowControl/>
      </w:pPr>
      <w:r>
        <w:t>Key architecture questions before tool choice: What is the primary business event? What is each table’s grain? Is the source a full extract, append log or CDC feed? What must be retained for audit? What is the SLA? What personal data must be restricted? What happens if a job reruns?</w:t>
      </w:r>
    </w:p>
    <w:p>
      <w:pPr>
        <w:pStyle w:val="Heading1"/>
        <w:widowControl/>
      </w:pPr>
      <w:r>
        <w:t>03  Ingestion: Getting Data into the Lakehouse</w:t>
      </w:r>
    </w:p>
    <w:p>
      <w:pPr>
        <w:pStyle w:val="Heading2"/>
        <w:widowControl/>
      </w:pPr>
      <w:r>
        <w:t>A. Database / business application → Lakeflow Connect</w:t>
      </w:r>
    </w:p>
    <w:p>
      <w:pPr>
        <w:widowControl/>
      </w:pPr>
      <w:r>
        <w:t>Use a supported managed Lakeflow Connect connector when its source and release status match your requirements. For orders SQL Server (where supported), a connector can manage initial loading and subsequent incremental changes. The managed connector produces ingestion pipelines using Lakeflow pipelines and Unity Catalog governance. Connector behavior and supported operations vary by source and release status.</w:t>
      </w:r>
    </w:p>
    <w:p>
      <w:pPr>
        <w:pStyle w:val="ListNumber"/>
        <w:widowControl/>
      </w:pPr>
      <w:r>
        <w:t>Capture initial data or a consistent starting state of the source table.</w:t>
      </w:r>
    </w:p>
    <w:p>
      <w:pPr>
        <w:pStyle w:val="ListNumber"/>
        <w:widowControl/>
      </w:pPr>
      <w:r>
        <w:t>Read subsequent incremental changes (where the connector offers CDC / incremental capture).</w:t>
      </w:r>
    </w:p>
    <w:p>
      <w:pPr>
        <w:pStyle w:val="ListNumber"/>
        <w:widowControl/>
      </w:pPr>
      <w:r>
        <w:t>Write the ingested results to an appropriately governed target table.</w:t>
      </w:r>
    </w:p>
    <w:p>
      <w:pPr>
        <w:pStyle w:val="ListNumber"/>
        <w:widowControl/>
      </w:pPr>
      <w:r>
        <w:t>Track pipeline state, connector health, update lag and source permissions.</w:t>
      </w:r>
    </w:p>
    <w:p>
      <w:pPr>
        <w:pStyle w:val="Heading2"/>
        <w:widowControl/>
      </w:pPr>
      <w:r>
        <w:t>B. Partner files → Cloud storage → Auto Loader</w:t>
      </w:r>
    </w:p>
    <w:p>
      <w:pPr>
        <w:widowControl/>
      </w:pPr>
      <w:r>
        <w:t>Auto Loader is a file-incremental ingestion mechanism available through the cloudFiles source. It identifies newly arrived files and stores processing progress in a checkpoint (or pipeline-managed state). It avoids repeatedly processing previously completed files under normal, correctly configured operations; do not describe it as a generic scanner that “never reprocesses anything.”</w:t>
      </w:r>
    </w:p>
    <w:tbl>
      <w:tblPr>
        <w:tblW w:type="auto" w:w="0"/>
        <w:tblLayout w:type="fixed"/>
        <w:tblLook w:firstColumn="1" w:firstRow="1" w:lastColumn="0" w:lastRow="0" w:noHBand="0" w:noVBand="1" w:val="04A0"/>
      </w:tblPr>
      <w:tblGrid>
        <w:gridCol w:w="9850"/>
      </w:tblGrid>
      <w:tr>
        <w:trPr>
          <w:cantSplit/>
        </w:trPr>
        <w:tc>
          <w:tcPr>
            <w:tcW w:type="dxa" w:w="9936"/>
            <w:shd w:fill="EDF1F5"/>
            <w:tcMar>
              <w:top w:w="130" w:type="dxa"/>
              <w:start w:w="140" w:type="dxa"/>
              <w:bottom w:w="130" w:type="dxa"/>
              <w:end w:w="140" w:type="dxa"/>
            </w:tcMar>
            <w:vAlign w:val="center"/>
            <w:tcMar>
              <w:top w:w="92" w:type="dxa"/>
              <w:start w:w="125" w:type="dxa"/>
              <w:bottom w:w="92" w:type="dxa"/>
              <w:end w:w="125" w:type="dxa"/>
            </w:tcMar>
          </w:tcPr>
          <w:p>
            <w:pPr>
              <w:pStyle w:val="CodeBlock"/>
              <w:spacing w:after="0"/>
            </w:pPr>
            <w:r/>
            <w:r>
              <w:t>from pyspark import pipelines as dp</w:t>
            </w:r>
          </w:p>
          <w:p>
            <w:pPr>
              <w:pStyle w:val="CodeBlock"/>
              <w:spacing w:after="0"/>
            </w:pPr>
            <w:r>
              <w:t xml:space="preserve"> </w:t>
            </w:r>
          </w:p>
          <w:p>
            <w:pPr>
              <w:pStyle w:val="CodeBlock"/>
              <w:spacing w:after="0"/>
            </w:pPr>
            <w:r>
              <w:t>@dp.table(name="bronze_partner_inventory")</w:t>
            </w:r>
          </w:p>
          <w:p>
            <w:pPr>
              <w:pStyle w:val="CodeBlock"/>
              <w:spacing w:after="0"/>
            </w:pPr>
            <w:r>
              <w:t>def bronze_partner_inventory():</w:t>
            </w:r>
          </w:p>
          <w:p>
            <w:pPr>
              <w:pStyle w:val="CodeBlock"/>
              <w:spacing w:after="0"/>
            </w:pPr>
            <w:r>
              <w:t xml:space="preserve">    return (spark.readStream.format("cloudFiles")</w:t>
            </w:r>
          </w:p>
          <w:p>
            <w:pPr>
              <w:pStyle w:val="CodeBlock"/>
              <w:spacing w:after="0"/>
            </w:pPr>
            <w:r>
              <w:t xml:space="preserve">            .option("cloudFiles.format", "csv")</w:t>
            </w:r>
          </w:p>
          <w:p>
            <w:pPr>
              <w:pStyle w:val="CodeBlock"/>
              <w:spacing w:after="0"/>
            </w:pPr>
            <w:r>
              <w:t xml:space="preserve">            .option("header", "true")</w:t>
            </w:r>
          </w:p>
          <w:p>
            <w:pPr>
              <w:pStyle w:val="CodeBlock"/>
              <w:spacing w:after="0"/>
            </w:pPr>
            <w:r>
              <w:t xml:space="preserve">            .load("s3://example-landing/partner/inventory/"))</w:t>
            </w:r>
          </w:p>
        </w:tc>
      </w:tr>
    </w:tbl>
    <w:p>
      <w:pPr>
        <w:spacing w:after="40"/>
        <w:widowControl/>
      </w:pPr>
    </w:p>
    <w:p>
      <w:pPr>
        <w:widowControl/>
      </w:pPr>
      <w:r>
        <w:t>Illustrative Lakeflow pipeline definition. Configure permissions, schema management, target catalog/schema and file event strategy for your workspace. For a standalone Structured Streaming job, configure a durable checkpointLocation and, if inferring/evolving schemas, a schemaLocation. Lakeflow pipelines manages checkpoint and schema state in the pipeline context.</w:t>
      </w:r>
    </w:p>
    <w:p>
      <w:pPr>
        <w:pStyle w:val="Heading2"/>
        <w:widowControl/>
      </w:pPr>
      <w:r>
        <w:t>Understand three independent concerns</w:t>
      </w:r>
    </w:p>
    <w:tbl>
      <w:tblPr>
        <w:tblStyle w:val="TableGrid"/>
        <w:tblW w:type="auto" w:w="0"/>
        <w:jc w:val="center"/>
        <w:tblLayout w:type="fixed"/>
        <w:tblLook w:firstColumn="1" w:firstRow="1" w:lastColumn="0" w:lastRow="0" w:noHBand="0" w:noVBand="1" w:val="04A0"/>
      </w:tblPr>
      <w:tblGrid>
        <w:gridCol w:w="1872"/>
        <w:gridCol w:w="3528"/>
        <w:gridCol w:w="4522"/>
      </w:tblGrid>
      <w:tr>
        <w:trPr>
          <w:cantSplit/>
        </w:trPr>
        <w:tc>
          <w:tcPr>
            <w:tcW w:type="dxa" w:w="3312"/>
            <w:shd w:fill="1F3448"/>
            <w:vAlign w:val="center"/>
            <w:tcMar>
              <w:top w:w="92" w:type="dxa"/>
              <w:start w:w="125" w:type="dxa"/>
              <w:bottom w:w="92" w:type="dxa"/>
              <w:end w:w="125" w:type="dxa"/>
            </w:tcMar>
          </w:tcPr>
          <w:p>
            <w:r>
              <w:rPr>
                <w:b/>
                <w:color w:val="FFFFFF"/>
                <w:sz w:val="18"/>
              </w:rPr>
              <w:t>Concern</w:t>
            </w:r>
          </w:p>
        </w:tc>
        <w:tc>
          <w:tcPr>
            <w:tcW w:type="dxa" w:w="3312"/>
            <w:shd w:fill="1F3448"/>
            <w:vAlign w:val="center"/>
            <w:tcMar>
              <w:top w:w="92" w:type="dxa"/>
              <w:start w:w="125" w:type="dxa"/>
              <w:bottom w:w="92" w:type="dxa"/>
              <w:end w:w="125" w:type="dxa"/>
            </w:tcMar>
          </w:tcPr>
          <w:p>
            <w:r>
              <w:rPr>
                <w:b/>
                <w:color w:val="FFFFFF"/>
                <w:sz w:val="18"/>
              </w:rPr>
              <w:t>Why it matters</w:t>
            </w:r>
          </w:p>
        </w:tc>
        <w:tc>
          <w:tcPr>
            <w:tcW w:type="dxa" w:w="3312"/>
            <w:shd w:fill="1F3448"/>
            <w:vAlign w:val="center"/>
            <w:tcMar>
              <w:top w:w="92" w:type="dxa"/>
              <w:start w:w="125" w:type="dxa"/>
              <w:bottom w:w="92" w:type="dxa"/>
              <w:end w:w="125" w:type="dxa"/>
            </w:tcMar>
          </w:tcPr>
          <w:p>
            <w:r>
              <w:rPr>
                <w:b/>
                <w:color w:val="FFFFFF"/>
                <w:sz w:val="18"/>
              </w:rPr>
              <w:t>Design response</w:t>
            </w:r>
          </w:p>
        </w:tc>
      </w:tr>
      <w:tr>
        <w:trPr>
          <w:cantSplit/>
        </w:trPr>
        <w:tc>
          <w:tcPr>
            <w:tcW w:type="dxa" w:w="1872"/>
            <w:vAlign w:val="center"/>
            <w:tcMar>
              <w:top w:w="92" w:type="dxa"/>
              <w:start w:w="125" w:type="dxa"/>
              <w:bottom w:w="92" w:type="dxa"/>
              <w:end w:w="125" w:type="dxa"/>
            </w:tcMar>
          </w:tcPr>
          <w:p>
            <w:pPr>
              <w:spacing w:after="0"/>
            </w:pPr>
            <w:r>
              <w:rPr>
                <w:sz w:val="17"/>
              </w:rPr>
              <w:t>Discovery progress</w:t>
            </w:r>
          </w:p>
        </w:tc>
        <w:tc>
          <w:tcPr>
            <w:tcW w:type="dxa" w:w="3528"/>
            <w:vAlign w:val="center"/>
            <w:tcMar>
              <w:top w:w="92" w:type="dxa"/>
              <w:start w:w="125" w:type="dxa"/>
              <w:bottom w:w="92" w:type="dxa"/>
              <w:end w:w="125" w:type="dxa"/>
            </w:tcMar>
          </w:tcPr>
          <w:p>
            <w:pPr>
              <w:spacing w:after="0"/>
            </w:pPr>
            <w:r>
              <w:rPr>
                <w:sz w:val="17"/>
              </w:rPr>
              <w:t>Which files have been seen / processed?</w:t>
            </w:r>
          </w:p>
        </w:tc>
        <w:tc>
          <w:tcPr>
            <w:tcW w:type="dxa" w:w="4522"/>
            <w:vAlign w:val="center"/>
            <w:tcMar>
              <w:top w:w="92" w:type="dxa"/>
              <w:start w:w="125" w:type="dxa"/>
              <w:bottom w:w="92" w:type="dxa"/>
              <w:end w:w="125" w:type="dxa"/>
            </w:tcMar>
          </w:tcPr>
          <w:p>
            <w:pPr>
              <w:spacing w:after="0"/>
            </w:pPr>
            <w:r>
              <w:rPr>
                <w:sz w:val="17"/>
              </w:rPr>
              <w:t>Stable checkpoints; recover rather than reset casually</w:t>
            </w:r>
          </w:p>
        </w:tc>
      </w:tr>
      <w:tr>
        <w:trPr>
          <w:cantSplit/>
        </w:trPr>
        <w:tc>
          <w:tcPr>
            <w:tcW w:type="dxa" w:w="1872"/>
            <w:shd w:fill="F4F7FA"/>
            <w:vAlign w:val="center"/>
            <w:tcMar>
              <w:top w:w="92" w:type="dxa"/>
              <w:start w:w="125" w:type="dxa"/>
              <w:bottom w:w="92" w:type="dxa"/>
              <w:end w:w="125" w:type="dxa"/>
            </w:tcMar>
          </w:tcPr>
          <w:p>
            <w:pPr>
              <w:spacing w:after="0"/>
            </w:pPr>
            <w:r>
              <w:rPr>
                <w:sz w:val="17"/>
              </w:rPr>
              <w:t>Schema drift</w:t>
            </w:r>
          </w:p>
        </w:tc>
        <w:tc>
          <w:tcPr>
            <w:tcW w:type="dxa" w:w="3528"/>
            <w:shd w:fill="F4F7FA"/>
            <w:vAlign w:val="center"/>
            <w:tcMar>
              <w:top w:w="92" w:type="dxa"/>
              <w:start w:w="125" w:type="dxa"/>
              <w:bottom w:w="92" w:type="dxa"/>
              <w:end w:w="125" w:type="dxa"/>
            </w:tcMar>
          </w:tcPr>
          <w:p>
            <w:pPr>
              <w:spacing w:after="0"/>
            </w:pPr>
            <w:r>
              <w:rPr>
                <w:sz w:val="17"/>
              </w:rPr>
              <w:t>CSV adds discount_code tomorrow</w:t>
            </w:r>
          </w:p>
        </w:tc>
        <w:tc>
          <w:tcPr>
            <w:tcW w:type="dxa" w:w="4522"/>
            <w:shd w:fill="F4F7FA"/>
            <w:vAlign w:val="center"/>
            <w:tcMar>
              <w:top w:w="92" w:type="dxa"/>
              <w:start w:w="125" w:type="dxa"/>
              <w:bottom w:w="92" w:type="dxa"/>
              <w:end w:w="125" w:type="dxa"/>
            </w:tcMar>
          </w:tcPr>
          <w:p>
            <w:pPr>
              <w:spacing w:after="0"/>
            </w:pPr>
            <w:r>
              <w:rPr>
                <w:sz w:val="17"/>
              </w:rPr>
              <w:t>Explicit schema / schema evolution / rescued data policy</w:t>
            </w:r>
          </w:p>
        </w:tc>
      </w:tr>
      <w:tr>
        <w:trPr>
          <w:cantSplit/>
        </w:trPr>
        <w:tc>
          <w:tcPr>
            <w:tcW w:type="dxa" w:w="1872"/>
            <w:vAlign w:val="center"/>
            <w:tcMar>
              <w:top w:w="92" w:type="dxa"/>
              <w:start w:w="125" w:type="dxa"/>
              <w:bottom w:w="92" w:type="dxa"/>
              <w:end w:w="125" w:type="dxa"/>
            </w:tcMar>
          </w:tcPr>
          <w:p>
            <w:pPr>
              <w:spacing w:after="0"/>
            </w:pPr>
            <w:r>
              <w:rPr>
                <w:sz w:val="17"/>
              </w:rPr>
              <w:t>File mutation</w:t>
            </w:r>
          </w:p>
        </w:tc>
        <w:tc>
          <w:tcPr>
            <w:tcW w:type="dxa" w:w="3528"/>
            <w:vAlign w:val="center"/>
            <w:tcMar>
              <w:top w:w="92" w:type="dxa"/>
              <w:start w:w="125" w:type="dxa"/>
              <w:bottom w:w="92" w:type="dxa"/>
              <w:end w:w="125" w:type="dxa"/>
            </w:tcMar>
          </w:tcPr>
          <w:p>
            <w:pPr>
              <w:spacing w:after="0"/>
            </w:pPr>
            <w:r>
              <w:rPr>
                <w:sz w:val="17"/>
              </w:rPr>
              <w:t>A supplier overwrites yesterday’s file</w:t>
            </w:r>
          </w:p>
        </w:tc>
        <w:tc>
          <w:tcPr>
            <w:tcW w:type="dxa" w:w="4522"/>
            <w:vAlign w:val="center"/>
            <w:tcMar>
              <w:top w:w="92" w:type="dxa"/>
              <w:start w:w="125" w:type="dxa"/>
              <w:bottom w:w="92" w:type="dxa"/>
              <w:end w:w="125" w:type="dxa"/>
            </w:tcMar>
          </w:tcPr>
          <w:p>
            <w:pPr>
              <w:spacing w:after="0"/>
            </w:pPr>
            <w:r>
              <w:rPr>
                <w:sz w:val="17"/>
              </w:rPr>
              <w:t>Define immutability and reprocessing contract; understand allowOverwrites</w:t>
            </w:r>
          </w:p>
        </w:tc>
      </w:tr>
    </w:tbl>
    <w:p>
      <w:pPr>
        <w:spacing w:after="20"/>
        <w:widowControl/>
      </w:pPr>
    </w:p>
    <w:tbl>
      <w:tblPr>
        <w:tblW w:type="auto" w:w="0"/>
        <w:tblLayout w:type="fixed"/>
        <w:tblLook w:firstColumn="1" w:firstRow="1" w:lastColumn="0" w:lastRow="0" w:noHBand="0" w:noVBand="1" w:val="04A0"/>
      </w:tblPr>
      <w:tblGrid>
        <w:gridCol w:w="9864"/>
      </w:tblGrid>
      <w:tr>
        <w:tc>
          <w:tcPr>
            <w:tcW w:type="dxa" w:w="9936"/>
            <w:shd w:fill="E7F2F2"/>
            <w:tcMar>
              <w:top w:w="160" w:type="dxa"/>
              <w:start w:w="180" w:type="dxa"/>
              <w:bottom w:w="150" w:type="dxa"/>
              <w:end w:w="180" w:type="dxa"/>
            </w:tcMar>
          </w:tcPr>
          <w:p>
            <w:pPr>
              <w:spacing w:after="0"/>
            </w:pPr>
            <w:r>
              <w:rPr>
                <w:b/>
                <w:color w:val="267276"/>
                <w:sz w:val="18"/>
              </w:rPr>
              <w:t xml:space="preserve">CHECKPOINT CAUTION   </w:t>
            </w:r>
            <w:r>
              <w:rPr>
                <w:sz w:val="19"/>
              </w:rPr>
              <w:t>Changing or deleting a streaming checkpoint can cause a new stream to treat old input as unseen. File-level processing guarantees do not automatically equal business-record deduplication—duplicates may exist across separate files.</w:t>
            </w:r>
          </w:p>
        </w:tc>
      </w:tr>
    </w:tbl>
    <w:p>
      <w:pPr>
        <w:spacing w:after="20"/>
        <w:widowControl/>
      </w:pPr>
    </w:p>
    <w:p>
      <w:pPr>
        <w:pStyle w:val="Heading1"/>
        <w:widowControl/>
      </w:pPr>
      <w:r>
        <w:t>04  Bronze: Preserve Evidence and Replayability</w:t>
      </w:r>
    </w:p>
    <w:p>
      <w:pPr>
        <w:widowControl/>
      </w:pPr>
      <w:r>
        <w:t>Bronze is your high-fidelity, source-aligned ingestion layer. Its primary purpose is to retain what arrived with sufficient metadata to diagnose, backfill and reprocess into a better downstream implementation. Keep business decisions out of Bronze wherever possible.</w:t>
      </w:r>
    </w:p>
    <w:p>
      <w:pPr>
        <w:pStyle w:val="Heading2"/>
        <w:widowControl/>
      </w:pPr>
      <w:r>
        <w:t>Representative Bronze tables</w:t>
      </w:r>
    </w:p>
    <w:tbl>
      <w:tblPr>
        <w:tblStyle w:val="TableGrid"/>
        <w:tblW w:type="auto" w:w="0"/>
        <w:jc w:val="center"/>
        <w:tblLayout w:type="fixed"/>
        <w:tblLook w:firstColumn="1" w:firstRow="1" w:lastColumn="0" w:lastRow="0" w:noHBand="0" w:noVBand="1" w:val="04A0"/>
      </w:tblPr>
      <w:tblGrid>
        <w:gridCol w:w="2261"/>
        <w:gridCol w:w="4651"/>
        <w:gridCol w:w="3024"/>
      </w:tblGrid>
      <w:tr>
        <w:trPr>
          <w:cantSplit/>
        </w:trPr>
        <w:tc>
          <w:tcPr>
            <w:tcW w:type="dxa" w:w="3312"/>
            <w:shd w:fill="1F3448"/>
            <w:vAlign w:val="center"/>
            <w:tcMar>
              <w:top w:w="92" w:type="dxa"/>
              <w:start w:w="125" w:type="dxa"/>
              <w:bottom w:w="92" w:type="dxa"/>
              <w:end w:w="125" w:type="dxa"/>
            </w:tcMar>
          </w:tcPr>
          <w:p>
            <w:r>
              <w:rPr>
                <w:b/>
                <w:color w:val="FFFFFF"/>
                <w:sz w:val="18"/>
              </w:rPr>
              <w:t>Table</w:t>
            </w:r>
          </w:p>
        </w:tc>
        <w:tc>
          <w:tcPr>
            <w:tcW w:type="dxa" w:w="3312"/>
            <w:shd w:fill="1F3448"/>
            <w:vAlign w:val="center"/>
            <w:tcMar>
              <w:top w:w="92" w:type="dxa"/>
              <w:start w:w="125" w:type="dxa"/>
              <w:bottom w:w="92" w:type="dxa"/>
              <w:end w:w="125" w:type="dxa"/>
            </w:tcMar>
          </w:tcPr>
          <w:p>
            <w:r>
              <w:rPr>
                <w:b/>
                <w:color w:val="FFFFFF"/>
                <w:sz w:val="18"/>
              </w:rPr>
              <w:t>Representative columns</w:t>
            </w:r>
          </w:p>
        </w:tc>
        <w:tc>
          <w:tcPr>
            <w:tcW w:type="dxa" w:w="3312"/>
            <w:shd w:fill="1F3448"/>
            <w:vAlign w:val="center"/>
            <w:tcMar>
              <w:top w:w="92" w:type="dxa"/>
              <w:start w:w="125" w:type="dxa"/>
              <w:bottom w:w="92" w:type="dxa"/>
              <w:end w:w="125" w:type="dxa"/>
            </w:tcMar>
          </w:tcPr>
          <w:p>
            <w:r>
              <w:rPr>
                <w:b/>
                <w:color w:val="FFFFFF"/>
                <w:sz w:val="18"/>
              </w:rPr>
              <w:t>Storage / behavior</w:t>
            </w:r>
          </w:p>
        </w:tc>
      </w:tr>
      <w:tr>
        <w:trPr>
          <w:cantSplit/>
        </w:trPr>
        <w:tc>
          <w:tcPr>
            <w:tcW w:type="dxa" w:w="2261"/>
            <w:vAlign w:val="center"/>
            <w:tcMar>
              <w:top w:w="92" w:type="dxa"/>
              <w:start w:w="125" w:type="dxa"/>
              <w:bottom w:w="92" w:type="dxa"/>
              <w:end w:w="125" w:type="dxa"/>
            </w:tcMar>
          </w:tcPr>
          <w:p>
            <w:pPr>
              <w:spacing w:after="0"/>
            </w:pPr>
            <w:r>
              <w:rPr>
                <w:sz w:val="17"/>
              </w:rPr>
              <w:t>bronze_orders_cdc</w:t>
            </w:r>
          </w:p>
        </w:tc>
        <w:tc>
          <w:tcPr>
            <w:tcW w:type="dxa" w:w="4651"/>
            <w:vAlign w:val="center"/>
            <w:tcMar>
              <w:top w:w="92" w:type="dxa"/>
              <w:start w:w="125" w:type="dxa"/>
              <w:bottom w:w="92" w:type="dxa"/>
              <w:end w:w="125" w:type="dxa"/>
            </w:tcMar>
          </w:tcPr>
          <w:p>
            <w:pPr>
              <w:spacing w:after="0"/>
            </w:pPr>
            <w:r>
              <w:rPr>
                <w:sz w:val="17"/>
              </w:rPr>
              <w:t>order_id, status, amount, op, source_lsn, source_ts, _ingested_at</w:t>
            </w:r>
          </w:p>
        </w:tc>
        <w:tc>
          <w:tcPr>
            <w:tcW w:type="dxa" w:w="3024"/>
            <w:vAlign w:val="center"/>
            <w:tcMar>
              <w:top w:w="92" w:type="dxa"/>
              <w:start w:w="125" w:type="dxa"/>
              <w:bottom w:w="92" w:type="dxa"/>
              <w:end w:w="125" w:type="dxa"/>
            </w:tcMar>
          </w:tcPr>
          <w:p>
            <w:pPr>
              <w:spacing w:after="0"/>
            </w:pPr>
            <w:r>
              <w:rPr>
                <w:sz w:val="17"/>
              </w:rPr>
              <w:t>Delta append log of source changes</w:t>
            </w:r>
          </w:p>
        </w:tc>
      </w:tr>
      <w:tr>
        <w:trPr>
          <w:cantSplit/>
        </w:trPr>
        <w:tc>
          <w:tcPr>
            <w:tcW w:type="dxa" w:w="2261"/>
            <w:shd w:fill="F4F7FA"/>
            <w:vAlign w:val="center"/>
            <w:tcMar>
              <w:top w:w="92" w:type="dxa"/>
              <w:start w:w="125" w:type="dxa"/>
              <w:bottom w:w="92" w:type="dxa"/>
              <w:end w:w="125" w:type="dxa"/>
            </w:tcMar>
          </w:tcPr>
          <w:p>
            <w:pPr>
              <w:spacing w:after="0"/>
            </w:pPr>
            <w:r>
              <w:rPr>
                <w:sz w:val="17"/>
              </w:rPr>
              <w:t>bronze_payments_events</w:t>
            </w:r>
          </w:p>
        </w:tc>
        <w:tc>
          <w:tcPr>
            <w:tcW w:type="dxa" w:w="4651"/>
            <w:shd w:fill="F4F7FA"/>
            <w:vAlign w:val="center"/>
            <w:tcMar>
              <w:top w:w="92" w:type="dxa"/>
              <w:start w:w="125" w:type="dxa"/>
              <w:bottom w:w="92" w:type="dxa"/>
              <w:end w:w="125" w:type="dxa"/>
            </w:tcMar>
          </w:tcPr>
          <w:p>
            <w:pPr>
              <w:spacing w:after="0"/>
            </w:pPr>
            <w:r>
              <w:rPr>
                <w:sz w:val="17"/>
              </w:rPr>
              <w:t>payment_id, order_id, event_type, amount, occurred_at, payload</w:t>
            </w:r>
          </w:p>
        </w:tc>
        <w:tc>
          <w:tcPr>
            <w:tcW w:type="dxa" w:w="3024"/>
            <w:shd w:fill="F4F7FA"/>
            <w:vAlign w:val="center"/>
            <w:tcMar>
              <w:top w:w="92" w:type="dxa"/>
              <w:start w:w="125" w:type="dxa"/>
              <w:bottom w:w="92" w:type="dxa"/>
              <w:end w:w="125" w:type="dxa"/>
            </w:tcMar>
          </w:tcPr>
          <w:p>
            <w:pPr>
              <w:spacing w:after="0"/>
            </w:pPr>
            <w:r>
              <w:rPr>
                <w:sz w:val="17"/>
              </w:rPr>
              <w:t>Delta events from API / landing</w:t>
            </w:r>
          </w:p>
        </w:tc>
      </w:tr>
      <w:tr>
        <w:trPr>
          <w:cantSplit/>
        </w:trPr>
        <w:tc>
          <w:tcPr>
            <w:tcW w:type="dxa" w:w="2261"/>
            <w:vAlign w:val="center"/>
            <w:tcMar>
              <w:top w:w="92" w:type="dxa"/>
              <w:start w:w="125" w:type="dxa"/>
              <w:bottom w:w="92" w:type="dxa"/>
              <w:end w:w="125" w:type="dxa"/>
            </w:tcMar>
          </w:tcPr>
          <w:p>
            <w:pPr>
              <w:spacing w:after="0"/>
            </w:pPr>
            <w:r>
              <w:rPr>
                <w:sz w:val="17"/>
              </w:rPr>
              <w:t>bronze_inventory_files</w:t>
            </w:r>
          </w:p>
        </w:tc>
        <w:tc>
          <w:tcPr>
            <w:tcW w:type="dxa" w:w="4651"/>
            <w:vAlign w:val="center"/>
            <w:tcMar>
              <w:top w:w="92" w:type="dxa"/>
              <w:start w:w="125" w:type="dxa"/>
              <w:bottom w:w="92" w:type="dxa"/>
              <w:end w:w="125" w:type="dxa"/>
            </w:tcMar>
          </w:tcPr>
          <w:p>
            <w:pPr>
              <w:spacing w:after="0"/>
            </w:pPr>
            <w:r>
              <w:rPr>
                <w:sz w:val="17"/>
              </w:rPr>
              <w:t>sku, partner_id, available_qty, _source_file, _ingested_at</w:t>
            </w:r>
          </w:p>
        </w:tc>
        <w:tc>
          <w:tcPr>
            <w:tcW w:type="dxa" w:w="3024"/>
            <w:vAlign w:val="center"/>
            <w:tcMar>
              <w:top w:w="92" w:type="dxa"/>
              <w:start w:w="125" w:type="dxa"/>
              <w:bottom w:w="92" w:type="dxa"/>
              <w:end w:w="125" w:type="dxa"/>
            </w:tcMar>
          </w:tcPr>
          <w:p>
            <w:pPr>
              <w:spacing w:after="0"/>
            </w:pPr>
            <w:r>
              <w:rPr>
                <w:sz w:val="17"/>
              </w:rPr>
              <w:t>Delta rows from immutable partner files</w:t>
            </w:r>
          </w:p>
        </w:tc>
      </w:tr>
    </w:tbl>
    <w:p>
      <w:pPr>
        <w:spacing w:after="20"/>
        <w:widowControl/>
      </w:pPr>
    </w:p>
    <w:p>
      <w:pPr>
        <w:widowControl/>
      </w:pPr>
      <w:r>
        <w:t>Technical metadata is useful: _ingested_at, _source_file, _batch_id, _source_system, source change sequence, and load timestamp. Use source-appropriate fields; file paths are irrelevant for an API without files.</w:t>
      </w:r>
    </w:p>
    <w:p>
      <w:pPr>
        <w:pStyle w:val="Heading2"/>
        <w:widowControl/>
      </w:pPr>
      <w:r>
        <w:t>What Delta Lake contributes</w:t>
      </w:r>
    </w:p>
    <w:p>
      <w:pPr>
        <w:pStyle w:val="ListBullet"/>
        <w:widowControl/>
      </w:pPr>
      <w:r>
        <w:t>Parquet data files + a Delta transaction log (_delta_log): readers identify a consistent committed snapshot, not “the latest Parquet by timestamp.”</w:t>
      </w:r>
    </w:p>
    <w:p>
      <w:pPr>
        <w:pStyle w:val="ListBullet"/>
        <w:widowControl/>
      </w:pPr>
      <w:r>
        <w:t>ACID transactions, schema controls and time travel within retention policy.</w:t>
      </w:r>
    </w:p>
    <w:p>
      <w:pPr>
        <w:pStyle w:val="ListBullet"/>
        <w:widowControl/>
      </w:pPr>
      <w:r>
        <w:t>MERGE, UPDATE and DELETE on Delta tables, and optional Change Data Feed for downstream changes.</w:t>
      </w:r>
    </w:p>
    <w:p>
      <w:pPr>
        <w:pStyle w:val="ListBullet"/>
        <w:widowControl/>
      </w:pPr>
      <w:r>
        <w:t>A simple audit/replay foundation—but replayability is only as complete as your retained source history and retention policy.</w:t>
      </w:r>
    </w:p>
    <w:tbl>
      <w:tblPr>
        <w:tblW w:type="auto" w:w="0"/>
        <w:tblLayout w:type="fixed"/>
        <w:tblLook w:firstColumn="1" w:firstRow="1" w:lastColumn="0" w:lastRow="0" w:noHBand="0" w:noVBand="1" w:val="04A0"/>
      </w:tblPr>
      <w:tblGrid>
        <w:gridCol w:w="9864"/>
      </w:tblGrid>
      <w:tr>
        <w:tc>
          <w:tcPr>
            <w:tcW w:type="dxa" w:w="9936"/>
            <w:shd w:fill="E7F2F2"/>
            <w:tcMar>
              <w:top w:w="160" w:type="dxa"/>
              <w:start w:w="180" w:type="dxa"/>
              <w:bottom w:w="150" w:type="dxa"/>
              <w:end w:w="180" w:type="dxa"/>
            </w:tcMar>
          </w:tcPr>
          <w:p>
            <w:pPr>
              <w:spacing w:after="0"/>
            </w:pPr>
            <w:r>
              <w:rPr>
                <w:b/>
                <w:color w:val="267276"/>
                <w:sz w:val="18"/>
              </w:rPr>
              <w:t xml:space="preserve">NUANCE: “BRONZE = APPEND-ONLY”   </w:t>
            </w:r>
            <w:r>
              <w:rPr>
                <w:sz w:val="19"/>
              </w:rPr>
              <w:t>Append-oriented Bronze is a strong default for raw events and CDC logs, but it is not a universal platform rule. Managed connectors and snapshot ingestion patterns may maintain a current-state target. Explicitly decide whether you need immutable raw history, current state, or both; never assume a changing snapshot is a complete audit log.</w:t>
            </w:r>
          </w:p>
        </w:tc>
      </w:tr>
    </w:tbl>
    <w:p>
      <w:pPr>
        <w:spacing w:after="20"/>
        <w:widowControl/>
      </w:pPr>
    </w:p>
    <w:p>
      <w:pPr>
        <w:pStyle w:val="Heading1"/>
        <w:widowControl/>
      </w:pPr>
      <w:r>
        <w:t>05  Silver: Trusted, Detailed Business Entities</w:t>
      </w:r>
    </w:p>
    <w:p>
      <w:pPr>
        <w:widowControl/>
      </w:pPr>
      <w:r>
        <w:t>Silver applies validation and business-safe standardization while retaining useful detail. It is where you turn messy source records into reliable entities: orders, order items, payments, products, customers and inventory.</w:t>
      </w:r>
    </w:p>
    <w:p>
      <w:pPr>
        <w:pStyle w:val="Heading2"/>
        <w:widowControl/>
      </w:pPr>
      <w:r>
        <w:t>Typical Silver rules for the example</w:t>
      </w:r>
    </w:p>
    <w:p>
      <w:pPr>
        <w:pStyle w:val="ListBullet"/>
        <w:widowControl/>
      </w:pPr>
      <w:r>
        <w:t>Type and normalize amount, currency, timestamps and identifiers.</w:t>
      </w:r>
    </w:p>
    <w:p>
      <w:pPr>
        <w:pStyle w:val="ListBullet"/>
        <w:widowControl/>
      </w:pPr>
      <w:r>
        <w:t>Deduplicate by the real source business key plus event/version sequence (not arbitrary dropDuplicates on every column).</w:t>
      </w:r>
    </w:p>
    <w:p>
      <w:pPr>
        <w:pStyle w:val="ListBullet"/>
        <w:widowControl/>
      </w:pPr>
      <w:r>
        <w:t>Apply CDC updates/deletes in source order; explicitly define how late and out-of-order changes behave.</w:t>
      </w:r>
    </w:p>
    <w:p>
      <w:pPr>
        <w:pStyle w:val="ListBullet"/>
        <w:widowControl/>
      </w:pPr>
      <w:r>
        <w:t>Quarantine invalid records or fail critical updates instead of silently dropping revenue events.</w:t>
      </w:r>
    </w:p>
    <w:p>
      <w:pPr>
        <w:pStyle w:val="ListBullet"/>
        <w:widowControl/>
      </w:pPr>
      <w:r>
        <w:t>Normalize status vocabularies and join keys; keep orders and payments at their own natural grains.</w:t>
      </w:r>
    </w:p>
    <w:p>
      <w:pPr>
        <w:pStyle w:val="Heading2"/>
        <w:widowControl/>
      </w:pPr>
      <w:r>
        <w:t>CDC decisions: current state versus history</w:t>
      </w:r>
    </w:p>
    <w:tbl>
      <w:tblPr>
        <w:tblStyle w:val="TableGrid"/>
        <w:tblW w:type="auto" w:w="0"/>
        <w:jc w:val="center"/>
        <w:tblLayout w:type="fixed"/>
        <w:tblLook w:firstColumn="1" w:firstRow="1" w:lastColumn="0" w:lastRow="0" w:noHBand="0" w:noVBand="1" w:val="04A0"/>
      </w:tblPr>
      <w:tblGrid>
        <w:gridCol w:w="1901"/>
        <w:gridCol w:w="2621"/>
        <w:gridCol w:w="5400"/>
      </w:tblGrid>
      <w:tr>
        <w:trPr>
          <w:cantSplit/>
        </w:trPr>
        <w:tc>
          <w:tcPr>
            <w:tcW w:type="dxa" w:w="3312"/>
            <w:shd w:fill="1F3448"/>
            <w:vAlign w:val="center"/>
            <w:tcMar>
              <w:top w:w="92" w:type="dxa"/>
              <w:start w:w="125" w:type="dxa"/>
              <w:bottom w:w="92" w:type="dxa"/>
              <w:end w:w="125" w:type="dxa"/>
            </w:tcMar>
          </w:tcPr>
          <w:p>
            <w:r>
              <w:rPr>
                <w:b/>
                <w:color w:val="FFFFFF"/>
                <w:sz w:val="18"/>
              </w:rPr>
              <w:t>Pattern</w:t>
            </w:r>
          </w:p>
        </w:tc>
        <w:tc>
          <w:tcPr>
            <w:tcW w:type="dxa" w:w="3312"/>
            <w:shd w:fill="1F3448"/>
            <w:vAlign w:val="center"/>
            <w:tcMar>
              <w:top w:w="92" w:type="dxa"/>
              <w:start w:w="125" w:type="dxa"/>
              <w:bottom w:w="92" w:type="dxa"/>
              <w:end w:w="125" w:type="dxa"/>
            </w:tcMar>
          </w:tcPr>
          <w:p>
            <w:r>
              <w:rPr>
                <w:b/>
                <w:color w:val="FFFFFF"/>
                <w:sz w:val="18"/>
              </w:rPr>
              <w:t>Silver target</w:t>
            </w:r>
          </w:p>
        </w:tc>
        <w:tc>
          <w:tcPr>
            <w:tcW w:type="dxa" w:w="3312"/>
            <w:shd w:fill="1F3448"/>
            <w:vAlign w:val="center"/>
            <w:tcMar>
              <w:top w:w="92" w:type="dxa"/>
              <w:start w:w="125" w:type="dxa"/>
              <w:bottom w:w="92" w:type="dxa"/>
              <w:end w:w="125" w:type="dxa"/>
            </w:tcMar>
          </w:tcPr>
          <w:p>
            <w:r>
              <w:rPr>
                <w:b/>
                <w:color w:val="FFFFFF"/>
                <w:sz w:val="18"/>
              </w:rPr>
              <w:t>Use it when</w:t>
            </w:r>
          </w:p>
        </w:tc>
      </w:tr>
      <w:tr>
        <w:trPr>
          <w:cantSplit/>
        </w:trPr>
        <w:tc>
          <w:tcPr>
            <w:tcW w:type="dxa" w:w="1901"/>
            <w:vAlign w:val="center"/>
            <w:tcMar>
              <w:top w:w="92" w:type="dxa"/>
              <w:start w:w="125" w:type="dxa"/>
              <w:bottom w:w="92" w:type="dxa"/>
              <w:end w:w="125" w:type="dxa"/>
            </w:tcMar>
          </w:tcPr>
          <w:p>
            <w:pPr>
              <w:spacing w:after="0"/>
            </w:pPr>
            <w:r>
              <w:rPr>
                <w:sz w:val="17"/>
              </w:rPr>
              <w:t>SCD Type 1</w:t>
            </w:r>
          </w:p>
        </w:tc>
        <w:tc>
          <w:tcPr>
            <w:tcW w:type="dxa" w:w="2621"/>
            <w:vAlign w:val="center"/>
            <w:tcMar>
              <w:top w:w="92" w:type="dxa"/>
              <w:start w:w="125" w:type="dxa"/>
              <w:bottom w:w="92" w:type="dxa"/>
              <w:end w:w="125" w:type="dxa"/>
            </w:tcMar>
          </w:tcPr>
          <w:p>
            <w:pPr>
              <w:spacing w:after="0"/>
            </w:pPr>
            <w:r>
              <w:rPr>
                <w:sz w:val="17"/>
              </w:rPr>
              <w:t>Latest known values per key</w:t>
            </w:r>
          </w:p>
        </w:tc>
        <w:tc>
          <w:tcPr>
            <w:tcW w:type="dxa" w:w="5400"/>
            <w:vAlign w:val="center"/>
            <w:tcMar>
              <w:top w:w="92" w:type="dxa"/>
              <w:start w:w="125" w:type="dxa"/>
              <w:bottom w:w="92" w:type="dxa"/>
              <w:end w:w="125" w:type="dxa"/>
            </w:tcMar>
          </w:tcPr>
          <w:p>
            <w:pPr>
              <w:spacing w:after="0"/>
            </w:pPr>
            <w:r>
              <w:rPr>
                <w:sz w:val="17"/>
              </w:rPr>
              <w:t>Current order/customer attributes matter</w:t>
            </w:r>
          </w:p>
        </w:tc>
      </w:tr>
      <w:tr>
        <w:trPr>
          <w:cantSplit/>
        </w:trPr>
        <w:tc>
          <w:tcPr>
            <w:tcW w:type="dxa" w:w="1901"/>
            <w:shd w:fill="F4F7FA"/>
            <w:vAlign w:val="center"/>
            <w:tcMar>
              <w:top w:w="92" w:type="dxa"/>
              <w:start w:w="125" w:type="dxa"/>
              <w:bottom w:w="92" w:type="dxa"/>
              <w:end w:w="125" w:type="dxa"/>
            </w:tcMar>
          </w:tcPr>
          <w:p>
            <w:pPr>
              <w:spacing w:after="0"/>
            </w:pPr>
            <w:r>
              <w:rPr>
                <w:sz w:val="17"/>
              </w:rPr>
              <w:t>SCD Type 2</w:t>
            </w:r>
          </w:p>
        </w:tc>
        <w:tc>
          <w:tcPr>
            <w:tcW w:type="dxa" w:w="2621"/>
            <w:shd w:fill="F4F7FA"/>
            <w:vAlign w:val="center"/>
            <w:tcMar>
              <w:top w:w="92" w:type="dxa"/>
              <w:start w:w="125" w:type="dxa"/>
              <w:bottom w:w="92" w:type="dxa"/>
              <w:end w:w="125" w:type="dxa"/>
            </w:tcMar>
          </w:tcPr>
          <w:p>
            <w:pPr>
              <w:spacing w:after="0"/>
            </w:pPr>
            <w:r>
              <w:rPr>
                <w:sz w:val="17"/>
              </w:rPr>
              <w:t>Versions with effective boundaries</w:t>
            </w:r>
          </w:p>
        </w:tc>
        <w:tc>
          <w:tcPr>
            <w:tcW w:type="dxa" w:w="5400"/>
            <w:shd w:fill="F4F7FA"/>
            <w:vAlign w:val="center"/>
            <w:tcMar>
              <w:top w:w="92" w:type="dxa"/>
              <w:start w:w="125" w:type="dxa"/>
              <w:bottom w:w="92" w:type="dxa"/>
              <w:end w:w="125" w:type="dxa"/>
            </w:tcMar>
          </w:tcPr>
          <w:p>
            <w:pPr>
              <w:spacing w:after="0"/>
            </w:pPr>
            <w:r>
              <w:rPr>
                <w:sz w:val="17"/>
              </w:rPr>
              <w:t>Need to analyze historical customer attributes</w:t>
            </w:r>
          </w:p>
        </w:tc>
      </w:tr>
      <w:tr>
        <w:trPr>
          <w:cantSplit/>
        </w:trPr>
        <w:tc>
          <w:tcPr>
            <w:tcW w:type="dxa" w:w="1901"/>
            <w:vAlign w:val="center"/>
            <w:tcMar>
              <w:top w:w="92" w:type="dxa"/>
              <w:start w:w="125" w:type="dxa"/>
              <w:bottom w:w="92" w:type="dxa"/>
              <w:end w:w="125" w:type="dxa"/>
            </w:tcMar>
          </w:tcPr>
          <w:p>
            <w:pPr>
              <w:spacing w:after="0"/>
            </w:pPr>
            <w:r>
              <w:rPr>
                <w:sz w:val="17"/>
              </w:rPr>
              <w:t>Event / ledger model</w:t>
            </w:r>
          </w:p>
        </w:tc>
        <w:tc>
          <w:tcPr>
            <w:tcW w:type="dxa" w:w="2621"/>
            <w:vAlign w:val="center"/>
            <w:tcMar>
              <w:top w:w="92" w:type="dxa"/>
              <w:start w:w="125" w:type="dxa"/>
              <w:bottom w:w="92" w:type="dxa"/>
              <w:end w:w="125" w:type="dxa"/>
            </w:tcMar>
          </w:tcPr>
          <w:p>
            <w:pPr>
              <w:spacing w:after="0"/>
            </w:pPr>
            <w:r>
              <w:rPr>
                <w:sz w:val="17"/>
              </w:rPr>
              <w:t>One record per business event</w:t>
            </w:r>
          </w:p>
        </w:tc>
        <w:tc>
          <w:tcPr>
            <w:tcW w:type="dxa" w:w="5400"/>
            <w:vAlign w:val="center"/>
            <w:tcMar>
              <w:top w:w="92" w:type="dxa"/>
              <w:start w:w="125" w:type="dxa"/>
              <w:bottom w:w="92" w:type="dxa"/>
              <w:end w:w="125" w:type="dxa"/>
            </w:tcMar>
          </w:tcPr>
          <w:p>
            <w:pPr>
              <w:spacing w:after="0"/>
            </w:pPr>
            <w:r>
              <w:rPr>
                <w:sz w:val="17"/>
              </w:rPr>
              <w:t>Payment capture/refund or audit history</w:t>
            </w:r>
          </w:p>
        </w:tc>
      </w:tr>
    </w:tbl>
    <w:p>
      <w:pPr>
        <w:spacing w:after="20"/>
        <w:widowControl/>
      </w:pPr>
    </w:p>
    <w:p>
      <w:pPr>
        <w:widowControl/>
      </w:pPr>
      <w:r>
        <w:t>Lakeflow pipelines provide declarative transformations and Databricks-specific AUTO CDC capabilities for SCD1 and SCD2. This differs from plain Apache Spark Declarative Pipelines (SDP), which defines the portable base but not all Databricks features.</w:t>
      </w:r>
    </w:p>
    <w:p>
      <w:pPr>
        <w:pStyle w:val="Heading2"/>
        <w:widowControl/>
      </w:pPr>
      <w:r>
        <w:t>Practical expectations example</w:t>
      </w:r>
    </w:p>
    <w:tbl>
      <w:tblPr>
        <w:tblW w:type="auto" w:w="0"/>
        <w:tblLayout w:type="fixed"/>
        <w:tblLook w:firstColumn="1" w:firstRow="1" w:lastColumn="0" w:lastRow="0" w:noHBand="0" w:noVBand="1" w:val="04A0"/>
      </w:tblPr>
      <w:tblGrid>
        <w:gridCol w:w="9850"/>
      </w:tblGrid>
      <w:tr>
        <w:trPr>
          <w:cantSplit/>
        </w:trPr>
        <w:tc>
          <w:tcPr>
            <w:tcW w:type="dxa" w:w="9936"/>
            <w:shd w:fill="EDF1F5"/>
            <w:tcMar>
              <w:top w:w="130" w:type="dxa"/>
              <w:start w:w="140" w:type="dxa"/>
              <w:bottom w:w="130" w:type="dxa"/>
              <w:end w:w="140" w:type="dxa"/>
            </w:tcMar>
            <w:vAlign w:val="center"/>
            <w:tcMar>
              <w:top w:w="92" w:type="dxa"/>
              <w:start w:w="125" w:type="dxa"/>
              <w:bottom w:w="92" w:type="dxa"/>
              <w:end w:w="125" w:type="dxa"/>
            </w:tcMar>
          </w:tcPr>
          <w:p>
            <w:pPr>
              <w:pStyle w:val="CodeBlock"/>
              <w:spacing w:after="0"/>
            </w:pPr>
            <w:r/>
            <w:r>
              <w:t>from pyspark import pipelines as dp</w:t>
            </w:r>
          </w:p>
          <w:p>
            <w:pPr>
              <w:pStyle w:val="CodeBlock"/>
              <w:spacing w:after="0"/>
            </w:pPr>
            <w:r>
              <w:t>from pyspark.sql.functions import col</w:t>
            </w:r>
          </w:p>
          <w:p>
            <w:pPr>
              <w:pStyle w:val="CodeBlock"/>
              <w:spacing w:after="0"/>
            </w:pPr>
            <w:r>
              <w:t xml:space="preserve"> </w:t>
            </w:r>
          </w:p>
          <w:p>
            <w:pPr>
              <w:pStyle w:val="CodeBlock"/>
              <w:spacing w:after="0"/>
            </w:pPr>
            <w:r>
              <w:t>@dp.materialized_view(name="silver_valid_payments")</w:t>
            </w:r>
          </w:p>
          <w:p>
            <w:pPr>
              <w:pStyle w:val="CodeBlock"/>
              <w:spacing w:after="0"/>
            </w:pPr>
            <w:r>
              <w:t>@dp.expect_or_drop("has_payment_id", "payment_id IS NOT NULL")</w:t>
            </w:r>
          </w:p>
          <w:p>
            <w:pPr>
              <w:pStyle w:val="CodeBlock"/>
              <w:spacing w:after="0"/>
            </w:pPr>
            <w:r>
              <w:t>@dp.expect_or_fail("valid_amount", "amount &gt;= 0")</w:t>
            </w:r>
          </w:p>
          <w:p>
            <w:pPr>
              <w:pStyle w:val="CodeBlock"/>
              <w:spacing w:after="0"/>
            </w:pPr>
            <w:r>
              <w:t>def silver_valid_payments():</w:t>
            </w:r>
          </w:p>
          <w:p>
            <w:pPr>
              <w:pStyle w:val="CodeBlock"/>
              <w:spacing w:after="0"/>
            </w:pPr>
            <w:r>
              <w:t xml:space="preserve">    return (spark.read.table("commerce_dev.bronze.payments_events")</w:t>
            </w:r>
          </w:p>
          <w:p>
            <w:pPr>
              <w:pStyle w:val="CodeBlock"/>
              <w:spacing w:after="0"/>
            </w:pPr>
            <w:r>
              <w:t xml:space="preserve">            .select("payment_id", "order_id", "amount", "event_type"))</w:t>
            </w:r>
          </w:p>
        </w:tc>
      </w:tr>
    </w:tbl>
    <w:p>
      <w:pPr>
        <w:spacing w:after="40"/>
        <w:widowControl/>
      </w:pPr>
    </w:p>
    <w:p>
      <w:pPr>
        <w:widowControl/>
      </w:pPr>
      <w:r>
        <w:t>Demonstration of expectation behavior, not a complete payment-ledger implementation. Positive amounts can still be associated with refunds when event_type carries the sign. Choose rules based on source semantics.</w:t>
      </w:r>
    </w:p>
    <w:tbl>
      <w:tblPr>
        <w:tblW w:type="auto" w:w="0"/>
        <w:tblLayout w:type="fixed"/>
        <w:tblLook w:firstColumn="1" w:firstRow="1" w:lastColumn="0" w:lastRow="0" w:noHBand="0" w:noVBand="1" w:val="04A0"/>
      </w:tblPr>
      <w:tblGrid>
        <w:gridCol w:w="9864"/>
      </w:tblGrid>
      <w:tr>
        <w:tc>
          <w:tcPr>
            <w:tcW w:type="dxa" w:w="9936"/>
            <w:shd w:fill="E7F2F2"/>
            <w:tcMar>
              <w:top w:w="160" w:type="dxa"/>
              <w:start w:w="180" w:type="dxa"/>
              <w:bottom w:w="150" w:type="dxa"/>
              <w:end w:w="180" w:type="dxa"/>
            </w:tcMar>
          </w:tcPr>
          <w:p>
            <w:pPr>
              <w:spacing w:after="0"/>
            </w:pPr>
            <w:r>
              <w:rPr>
                <w:b/>
                <w:color w:val="267276"/>
                <w:sz w:val="18"/>
              </w:rPr>
              <w:t xml:space="preserve">EXPECTATION MODES   </w:t>
            </w:r>
            <w:r>
              <w:rPr>
                <w:sz w:val="19"/>
              </w:rPr>
              <w:t>WARN retains invalid rows and records metrics; DROP excludes violating rows; FAIL stops the affected pipeline update. For finance-critical records, prefer quarantine and reconciliation rather than making lost rows invisible.</w:t>
            </w:r>
          </w:p>
        </w:tc>
      </w:tr>
    </w:tbl>
    <w:p>
      <w:pPr>
        <w:spacing w:after="20"/>
        <w:widowControl/>
      </w:pPr>
    </w:p>
    <w:p>
      <w:pPr>
        <w:pStyle w:val="Heading1"/>
        <w:widowControl/>
      </w:pPr>
      <w:r>
        <w:t>06  Gold: Design from Business Questions and Grain</w:t>
      </w:r>
    </w:p>
    <w:p>
      <w:pPr>
        <w:widowControl/>
      </w:pPr>
      <w:r>
        <w:t>Gold is the business-facing consumption layer. Do not start by asking whether a table “needs a fact and dimension.” Start with a business question, define the event and grain, list required measures, then decide the right model: curated detailed table, dimensional model, wide serving table, or aggregate.</w:t>
      </w:r>
    </w:p>
    <w:p>
      <w:pPr>
        <w:pStyle w:val="Heading2"/>
        <w:widowControl/>
      </w:pPr>
      <w:r>
        <w:t>A clean analytics model for the retailer</w:t>
      </w:r>
    </w:p>
    <w:tbl>
      <w:tblPr>
        <w:tblStyle w:val="TableGrid"/>
        <w:tblW w:type="auto" w:w="0"/>
        <w:jc w:val="center"/>
        <w:tblLayout w:type="fixed"/>
        <w:tblLook w:firstColumn="1" w:firstRow="1" w:lastColumn="0" w:lastRow="0" w:noHBand="0" w:noVBand="1" w:val="04A0"/>
      </w:tblPr>
      <w:tblGrid>
        <w:gridCol w:w="2491"/>
        <w:gridCol w:w="3038"/>
        <w:gridCol w:w="4406"/>
      </w:tblGrid>
      <w:tr>
        <w:trPr>
          <w:cantSplit/>
        </w:trPr>
        <w:tc>
          <w:tcPr>
            <w:tcW w:type="dxa" w:w="3312"/>
            <w:shd w:fill="1F3448"/>
            <w:vAlign w:val="center"/>
            <w:tcMar>
              <w:top w:w="92" w:type="dxa"/>
              <w:start w:w="125" w:type="dxa"/>
              <w:bottom w:w="92" w:type="dxa"/>
              <w:end w:w="125" w:type="dxa"/>
            </w:tcMar>
          </w:tcPr>
          <w:p>
            <w:r>
              <w:rPr>
                <w:b/>
                <w:color w:val="FFFFFF"/>
                <w:sz w:val="18"/>
              </w:rPr>
              <w:t>Dataset</w:t>
            </w:r>
          </w:p>
        </w:tc>
        <w:tc>
          <w:tcPr>
            <w:tcW w:type="dxa" w:w="3312"/>
            <w:shd w:fill="1F3448"/>
            <w:vAlign w:val="center"/>
            <w:tcMar>
              <w:top w:w="92" w:type="dxa"/>
              <w:start w:w="125" w:type="dxa"/>
              <w:bottom w:w="92" w:type="dxa"/>
              <w:end w:w="125" w:type="dxa"/>
            </w:tcMar>
          </w:tcPr>
          <w:p>
            <w:r>
              <w:rPr>
                <w:b/>
                <w:color w:val="FFFFFF"/>
                <w:sz w:val="18"/>
              </w:rPr>
              <w:t>Grain</w:t>
            </w:r>
          </w:p>
        </w:tc>
        <w:tc>
          <w:tcPr>
            <w:tcW w:type="dxa" w:w="3312"/>
            <w:shd w:fill="1F3448"/>
            <w:vAlign w:val="center"/>
            <w:tcMar>
              <w:top w:w="92" w:type="dxa"/>
              <w:start w:w="125" w:type="dxa"/>
              <w:bottom w:w="92" w:type="dxa"/>
              <w:end w:w="125" w:type="dxa"/>
            </w:tcMar>
          </w:tcPr>
          <w:p>
            <w:r>
              <w:rPr>
                <w:b/>
                <w:color w:val="FFFFFF"/>
                <w:sz w:val="18"/>
              </w:rPr>
              <w:t>Purpose</w:t>
            </w:r>
          </w:p>
        </w:tc>
      </w:tr>
      <w:tr>
        <w:trPr>
          <w:cantSplit/>
        </w:trPr>
        <w:tc>
          <w:tcPr>
            <w:tcW w:type="dxa" w:w="2491"/>
            <w:vAlign w:val="center"/>
            <w:tcMar>
              <w:top w:w="92" w:type="dxa"/>
              <w:start w:w="125" w:type="dxa"/>
              <w:bottom w:w="92" w:type="dxa"/>
              <w:end w:w="125" w:type="dxa"/>
            </w:tcMar>
          </w:tcPr>
          <w:p>
            <w:pPr>
              <w:spacing w:after="0"/>
            </w:pPr>
            <w:r>
              <w:rPr>
                <w:sz w:val="17"/>
              </w:rPr>
              <w:t>gold.fact_order_items</w:t>
            </w:r>
          </w:p>
        </w:tc>
        <w:tc>
          <w:tcPr>
            <w:tcW w:type="dxa" w:w="3038"/>
            <w:vAlign w:val="center"/>
            <w:tcMar>
              <w:top w:w="92" w:type="dxa"/>
              <w:start w:w="125" w:type="dxa"/>
              <w:bottom w:w="92" w:type="dxa"/>
              <w:end w:w="125" w:type="dxa"/>
            </w:tcMar>
          </w:tcPr>
          <w:p>
            <w:pPr>
              <w:spacing w:after="0"/>
            </w:pPr>
            <w:r>
              <w:rPr>
                <w:sz w:val="17"/>
              </w:rPr>
              <w:t>One row per order line item</w:t>
            </w:r>
          </w:p>
        </w:tc>
        <w:tc>
          <w:tcPr>
            <w:tcW w:type="dxa" w:w="4406"/>
            <w:vAlign w:val="center"/>
            <w:tcMar>
              <w:top w:w="92" w:type="dxa"/>
              <w:start w:w="125" w:type="dxa"/>
              <w:bottom w:w="92" w:type="dxa"/>
              <w:end w:w="125" w:type="dxa"/>
            </w:tcMar>
          </w:tcPr>
          <w:p>
            <w:pPr>
              <w:spacing w:after="0"/>
            </w:pPr>
            <w:r>
              <w:rPr>
                <w:sz w:val="17"/>
              </w:rPr>
              <w:t>Sales by SKU, category, date, location</w:t>
            </w:r>
          </w:p>
        </w:tc>
      </w:tr>
      <w:tr>
        <w:trPr>
          <w:cantSplit/>
        </w:trPr>
        <w:tc>
          <w:tcPr>
            <w:tcW w:type="dxa" w:w="2491"/>
            <w:shd w:fill="F4F7FA"/>
            <w:vAlign w:val="center"/>
            <w:tcMar>
              <w:top w:w="92" w:type="dxa"/>
              <w:start w:w="125" w:type="dxa"/>
              <w:bottom w:w="92" w:type="dxa"/>
              <w:end w:w="125" w:type="dxa"/>
            </w:tcMar>
          </w:tcPr>
          <w:p>
            <w:pPr>
              <w:spacing w:after="0"/>
            </w:pPr>
            <w:r>
              <w:rPr>
                <w:sz w:val="17"/>
              </w:rPr>
              <w:t>gold.fact_payments</w:t>
            </w:r>
          </w:p>
        </w:tc>
        <w:tc>
          <w:tcPr>
            <w:tcW w:type="dxa" w:w="3038"/>
            <w:shd w:fill="F4F7FA"/>
            <w:vAlign w:val="center"/>
            <w:tcMar>
              <w:top w:w="92" w:type="dxa"/>
              <w:start w:w="125" w:type="dxa"/>
              <w:bottom w:w="92" w:type="dxa"/>
              <w:end w:w="125" w:type="dxa"/>
            </w:tcMar>
          </w:tcPr>
          <w:p>
            <w:pPr>
              <w:spacing w:after="0"/>
            </w:pPr>
            <w:r>
              <w:rPr>
                <w:sz w:val="17"/>
              </w:rPr>
              <w:t>One row per payment event</w:t>
            </w:r>
          </w:p>
        </w:tc>
        <w:tc>
          <w:tcPr>
            <w:tcW w:type="dxa" w:w="4406"/>
            <w:shd w:fill="F4F7FA"/>
            <w:vAlign w:val="center"/>
            <w:tcMar>
              <w:top w:w="92" w:type="dxa"/>
              <w:start w:w="125" w:type="dxa"/>
              <w:bottom w:w="92" w:type="dxa"/>
              <w:end w:w="125" w:type="dxa"/>
            </w:tcMar>
          </w:tcPr>
          <w:p>
            <w:pPr>
              <w:spacing w:after="0"/>
            </w:pPr>
            <w:r>
              <w:rPr>
                <w:sz w:val="17"/>
              </w:rPr>
              <w:t>Captured payments, refunds, payment status</w:t>
            </w:r>
          </w:p>
        </w:tc>
      </w:tr>
      <w:tr>
        <w:trPr>
          <w:cantSplit/>
        </w:trPr>
        <w:tc>
          <w:tcPr>
            <w:tcW w:type="dxa" w:w="2491"/>
            <w:vAlign w:val="center"/>
            <w:tcMar>
              <w:top w:w="92" w:type="dxa"/>
              <w:start w:w="125" w:type="dxa"/>
              <w:bottom w:w="92" w:type="dxa"/>
              <w:end w:w="125" w:type="dxa"/>
            </w:tcMar>
          </w:tcPr>
          <w:p>
            <w:pPr>
              <w:spacing w:after="0"/>
            </w:pPr>
            <w:r>
              <w:rPr>
                <w:sz w:val="17"/>
              </w:rPr>
              <w:t>gold.dim_product</w:t>
            </w:r>
          </w:p>
        </w:tc>
        <w:tc>
          <w:tcPr>
            <w:tcW w:type="dxa" w:w="3038"/>
            <w:vAlign w:val="center"/>
            <w:tcMar>
              <w:top w:w="92" w:type="dxa"/>
              <w:start w:w="125" w:type="dxa"/>
              <w:bottom w:w="92" w:type="dxa"/>
              <w:end w:w="125" w:type="dxa"/>
            </w:tcMar>
          </w:tcPr>
          <w:p>
            <w:pPr>
              <w:spacing w:after="0"/>
            </w:pPr>
            <w:r>
              <w:rPr>
                <w:sz w:val="17"/>
              </w:rPr>
              <w:t>One row per product or product version</w:t>
            </w:r>
          </w:p>
        </w:tc>
        <w:tc>
          <w:tcPr>
            <w:tcW w:type="dxa" w:w="4406"/>
            <w:vAlign w:val="center"/>
            <w:tcMar>
              <w:top w:w="92" w:type="dxa"/>
              <w:start w:w="125" w:type="dxa"/>
              <w:bottom w:w="92" w:type="dxa"/>
              <w:end w:w="125" w:type="dxa"/>
            </w:tcMar>
          </w:tcPr>
          <w:p>
            <w:pPr>
              <w:spacing w:after="0"/>
            </w:pPr>
            <w:r>
              <w:rPr>
                <w:sz w:val="17"/>
              </w:rPr>
              <w:t>Category and product attributes</w:t>
            </w:r>
          </w:p>
        </w:tc>
      </w:tr>
      <w:tr>
        <w:trPr>
          <w:cantSplit/>
        </w:trPr>
        <w:tc>
          <w:tcPr>
            <w:tcW w:type="dxa" w:w="2491"/>
            <w:shd w:fill="F4F7FA"/>
            <w:vAlign w:val="center"/>
            <w:tcMar>
              <w:top w:w="92" w:type="dxa"/>
              <w:start w:w="125" w:type="dxa"/>
              <w:bottom w:w="92" w:type="dxa"/>
              <w:end w:w="125" w:type="dxa"/>
            </w:tcMar>
          </w:tcPr>
          <w:p>
            <w:pPr>
              <w:spacing w:after="0"/>
            </w:pPr>
            <w:r>
              <w:rPr>
                <w:sz w:val="17"/>
              </w:rPr>
              <w:t>gold.dim_customer</w:t>
            </w:r>
          </w:p>
        </w:tc>
        <w:tc>
          <w:tcPr>
            <w:tcW w:type="dxa" w:w="3038"/>
            <w:shd w:fill="F4F7FA"/>
            <w:vAlign w:val="center"/>
            <w:tcMar>
              <w:top w:w="92" w:type="dxa"/>
              <w:start w:w="125" w:type="dxa"/>
              <w:bottom w:w="92" w:type="dxa"/>
              <w:end w:w="125" w:type="dxa"/>
            </w:tcMar>
          </w:tcPr>
          <w:p>
            <w:pPr>
              <w:spacing w:after="0"/>
            </w:pPr>
            <w:r>
              <w:rPr>
                <w:sz w:val="17"/>
              </w:rPr>
              <w:t>One row per customer / effective version</w:t>
            </w:r>
          </w:p>
        </w:tc>
        <w:tc>
          <w:tcPr>
            <w:tcW w:type="dxa" w:w="4406"/>
            <w:shd w:fill="F4F7FA"/>
            <w:vAlign w:val="center"/>
            <w:tcMar>
              <w:top w:w="92" w:type="dxa"/>
              <w:start w:w="125" w:type="dxa"/>
              <w:bottom w:w="92" w:type="dxa"/>
              <w:end w:w="125" w:type="dxa"/>
            </w:tcMar>
          </w:tcPr>
          <w:p>
            <w:pPr>
              <w:spacing w:after="0"/>
            </w:pPr>
            <w:r>
              <w:rPr>
                <w:sz w:val="17"/>
              </w:rPr>
              <w:t>Segment / cohort / lifecycle</w:t>
            </w:r>
          </w:p>
        </w:tc>
      </w:tr>
      <w:tr>
        <w:trPr>
          <w:cantSplit/>
        </w:trPr>
        <w:tc>
          <w:tcPr>
            <w:tcW w:type="dxa" w:w="2491"/>
            <w:vAlign w:val="center"/>
            <w:tcMar>
              <w:top w:w="92" w:type="dxa"/>
              <w:start w:w="125" w:type="dxa"/>
              <w:bottom w:w="92" w:type="dxa"/>
              <w:end w:w="125" w:type="dxa"/>
            </w:tcMar>
          </w:tcPr>
          <w:p>
            <w:pPr>
              <w:spacing w:after="0"/>
            </w:pPr>
            <w:r>
              <w:rPr>
                <w:sz w:val="17"/>
              </w:rPr>
              <w:t>gold.daily_net_sales</w:t>
            </w:r>
          </w:p>
        </w:tc>
        <w:tc>
          <w:tcPr>
            <w:tcW w:type="dxa" w:w="3038"/>
            <w:vAlign w:val="center"/>
            <w:tcMar>
              <w:top w:w="92" w:type="dxa"/>
              <w:start w:w="125" w:type="dxa"/>
              <w:bottom w:w="92" w:type="dxa"/>
              <w:end w:w="125" w:type="dxa"/>
            </w:tcMar>
          </w:tcPr>
          <w:p>
            <w:pPr>
              <w:spacing w:after="0"/>
            </w:pPr>
            <w:r>
              <w:rPr>
                <w:sz w:val="17"/>
              </w:rPr>
              <w:t>One row per date + channel</w:t>
            </w:r>
          </w:p>
        </w:tc>
        <w:tc>
          <w:tcPr>
            <w:tcW w:type="dxa" w:w="4406"/>
            <w:vAlign w:val="center"/>
            <w:tcMar>
              <w:top w:w="92" w:type="dxa"/>
              <w:start w:w="125" w:type="dxa"/>
              <w:bottom w:w="92" w:type="dxa"/>
              <w:end w:w="125" w:type="dxa"/>
            </w:tcMar>
          </w:tcPr>
          <w:p>
            <w:pPr>
              <w:spacing w:after="0"/>
            </w:pPr>
            <w:r>
              <w:rPr>
                <w:sz w:val="17"/>
              </w:rPr>
              <w:t>Fast executive dashboard</w:t>
            </w:r>
          </w:p>
        </w:tc>
      </w:tr>
    </w:tbl>
    <w:p>
      <w:pPr>
        <w:spacing w:after="20"/>
        <w:widowControl/>
      </w:pPr>
    </w:p>
    <w:p>
      <w:pPr>
        <w:widowControl/>
      </w:pPr>
      <w:r>
        <w:drawing>
          <wp:inline xmlns:a="http://schemas.openxmlformats.org/drawingml/2006/main" xmlns:pic="http://schemas.openxmlformats.org/drawingml/2006/picture">
            <wp:extent cx="6309360" cy="2060904"/>
            <wp:docPr id="2" name="Picture 2"/>
            <wp:cNvGraphicFramePr>
              <a:graphicFrameLocks noChangeAspect="1"/>
            </wp:cNvGraphicFramePr>
            <a:graphic>
              <a:graphicData uri="http://schemas.openxmlformats.org/drawingml/2006/picture">
                <pic:pic>
                  <pic:nvPicPr>
                    <pic:cNvPr id="0" name="day29_data_model_figure.png"/>
                    <pic:cNvPicPr/>
                  </pic:nvPicPr>
                  <pic:blipFill>
                    <a:blip r:embed="rId12"/>
                    <a:stretch>
                      <a:fillRect/>
                    </a:stretch>
                  </pic:blipFill>
                  <pic:spPr>
                    <a:xfrm>
                      <a:off x="0" y="0"/>
                      <a:ext cx="6309360" cy="2060904"/>
                    </a:xfrm>
                    <a:prstGeom prst="rect"/>
                  </pic:spPr>
                </pic:pic>
              </a:graphicData>
            </a:graphic>
          </wp:inline>
        </w:drawing>
      </w:r>
    </w:p>
    <w:p>
      <w:pPr>
        <w:pStyle w:val="SmallLabel"/>
        <w:widowControl/>
      </w:pPr>
      <w:r>
        <w:t>Figure 2. Example dimensional choice for a sales BI use case; the product and date dimensions do not erase the base event grain.</w:t>
      </w:r>
    </w:p>
    <w:p>
      <w:pPr>
        <w:pStyle w:val="Heading2"/>
        <w:widowControl/>
      </w:pPr>
      <w:r>
        <w:t>Avoid metrics that look right but are wrong</w:t>
      </w:r>
    </w:p>
    <w:p>
      <w:pPr>
        <w:pStyle w:val="ListBullet"/>
        <w:widowControl/>
      </w:pPr>
      <w:r>
        <w:t>Joining each order to multiple payment events and multiple order lines can multiply rows (fan-out). Aggregate each fact to a compatible grain before combining.</w:t>
      </w:r>
    </w:p>
    <w:p>
      <w:pPr>
        <w:pStyle w:val="ListBullet"/>
        <w:widowControl/>
      </w:pPr>
      <w:r>
        <w:t>“Revenue” requires a definition: ordered, booked, shipped, captured, refunded, canceled, taxes and FX are not interchangeable.</w:t>
      </w:r>
    </w:p>
    <w:p>
      <w:pPr>
        <w:pStyle w:val="ListBullet"/>
        <w:widowControl/>
      </w:pPr>
      <w:r>
        <w:t>One order may have many items, payments and refunds. Do not force these into a single wide fact without a documented grain.</w:t>
      </w:r>
    </w:p>
    <w:p>
      <w:pPr>
        <w:pStyle w:val="ListBullet"/>
        <w:widowControl/>
      </w:pPr>
      <w:r>
        <w:t>Gold does not have to be star schema for every workload. A compliance dashboard, search feature or ML dataset may need a curated flat/table-shaped output.</w:t>
      </w:r>
    </w:p>
    <w:p>
      <w:pPr>
        <w:pStyle w:val="Heading2"/>
        <w:widowControl/>
      </w:pPr>
      <w:r>
        <w:t>Illustrative daily net payments query</w:t>
      </w:r>
    </w:p>
    <w:tbl>
      <w:tblPr>
        <w:tblW w:type="auto" w:w="0"/>
        <w:tblLayout w:type="fixed"/>
        <w:tblLook w:firstColumn="1" w:firstRow="1" w:lastColumn="0" w:lastRow="0" w:noHBand="0" w:noVBand="1" w:val="04A0"/>
      </w:tblPr>
      <w:tblGrid>
        <w:gridCol w:w="9850"/>
      </w:tblGrid>
      <w:tr>
        <w:trPr>
          <w:cantSplit/>
        </w:trPr>
        <w:tc>
          <w:tcPr>
            <w:tcW w:type="dxa" w:w="9936"/>
            <w:shd w:fill="EDF1F5"/>
            <w:tcMar>
              <w:top w:w="130" w:type="dxa"/>
              <w:start w:w="140" w:type="dxa"/>
              <w:bottom w:w="130" w:type="dxa"/>
              <w:end w:w="140" w:type="dxa"/>
            </w:tcMar>
            <w:vAlign w:val="center"/>
            <w:tcMar>
              <w:top w:w="92" w:type="dxa"/>
              <w:start w:w="125" w:type="dxa"/>
              <w:bottom w:w="92" w:type="dxa"/>
              <w:end w:w="125" w:type="dxa"/>
            </w:tcMar>
          </w:tcPr>
          <w:p>
            <w:pPr>
              <w:pStyle w:val="CodeBlock"/>
              <w:spacing w:after="0"/>
            </w:pPr>
            <w:r/>
            <w:r>
              <w:t>SELECT date(occurred_at) AS sales_date,</w:t>
            </w:r>
          </w:p>
          <w:p>
            <w:pPr>
              <w:pStyle w:val="CodeBlock"/>
              <w:spacing w:after="0"/>
            </w:pPr>
            <w:r>
              <w:t xml:space="preserve">       SUM(CASE WHEN event_type = 'CAPTURE' THEN amount</w:t>
            </w:r>
          </w:p>
          <w:p>
            <w:pPr>
              <w:pStyle w:val="CodeBlock"/>
              <w:spacing w:after="0"/>
            </w:pPr>
            <w:r>
              <w:t xml:space="preserve">                WHEN event_type = 'REFUND'  THEN -amount</w:t>
            </w:r>
          </w:p>
          <w:p>
            <w:pPr>
              <w:pStyle w:val="CodeBlock"/>
              <w:spacing w:after="0"/>
            </w:pPr>
            <w:r>
              <w:t xml:space="preserve">                ELSE 0 END) AS net_captured_amount</w:t>
            </w:r>
          </w:p>
          <w:p>
            <w:pPr>
              <w:pStyle w:val="CodeBlock"/>
              <w:spacing w:after="0"/>
            </w:pPr>
            <w:r>
              <w:t>FROM commerce_prod.silver.payment_events</w:t>
            </w:r>
          </w:p>
          <w:p>
            <w:pPr>
              <w:pStyle w:val="CodeBlock"/>
              <w:spacing w:after="0"/>
            </w:pPr>
            <w:r>
              <w:t>WHERE event_type IN ('CAPTURE', 'REFUND')</w:t>
            </w:r>
          </w:p>
          <w:p>
            <w:pPr>
              <w:pStyle w:val="CodeBlock"/>
              <w:spacing w:after="0"/>
            </w:pPr>
            <w:r>
              <w:t>GROUP BY date(occurred_at);</w:t>
            </w:r>
          </w:p>
        </w:tc>
      </w:tr>
    </w:tbl>
    <w:p>
      <w:pPr>
        <w:spacing w:after="40"/>
        <w:widowControl/>
      </w:pPr>
    </w:p>
    <w:p>
      <w:pPr>
        <w:widowControl/>
      </w:pPr>
      <w:r>
        <w:t>This is a simplified net cash-capture metric, not an accounting-standard net-revenue definition. Use currencies, local business cutoffs, chargebacks, reversals and reconciliation rules appropriate to the company.</w:t>
      </w:r>
    </w:p>
    <w:p>
      <w:pPr>
        <w:pStyle w:val="Heading1"/>
        <w:widowControl/>
      </w:pPr>
      <w:r>
        <w:t>07  Serving: Dashboards and AI Are Different Paths</w:t>
      </w:r>
    </w:p>
    <w:p>
      <w:pPr>
        <w:pStyle w:val="Heading2"/>
        <w:widowControl/>
      </w:pPr>
      <w:r>
        <w:t>Analytics path</w:t>
      </w:r>
    </w:p>
    <w:p>
      <w:pPr>
        <w:widowControl/>
      </w:pPr>
      <w:r>
        <w:t>Gold tables or materialized views are read by a Databricks SQL Warehouse, which supplies query compute for SQL consumers and BI dashboards. A warehouse does not replace the data tables; it executes and manages queries against them. Apply a SQL access role, sensible warehouse sizing, query optimization, and dashboard freshness targets.</w:t>
      </w:r>
    </w:p>
    <w:p>
      <w:pPr>
        <w:pStyle w:val="Heading2"/>
        <w:widowControl/>
      </w:pPr>
      <w:r>
        <w:t>Machine learning path</w:t>
      </w:r>
    </w:p>
    <w:p>
      <w:pPr>
        <w:widowControl/>
      </w:pPr>
      <w:r>
        <w:t>Data scientists may train from trusted Silver details, Gold features, or dedicated feature tables. MLflow tracks experiments, parameters, metrics and model artifacts. The Unity Catalog Model Registry manages registered model versions and governance. Databricks Model Serving (or another deployment option) exposes trained models for online inference. MLflow by itself is not a serving endpoint.</w:t>
      </w:r>
    </w:p>
    <w:tbl>
      <w:tblPr>
        <w:tblStyle w:val="TableGrid"/>
        <w:tblW w:type="auto" w:w="0"/>
        <w:jc w:val="center"/>
        <w:tblLayout w:type="fixed"/>
        <w:tblLook w:firstColumn="1" w:firstRow="1" w:lastColumn="0" w:lastRow="0" w:noHBand="0" w:noVBand="1" w:val="04A0"/>
      </w:tblPr>
      <w:tblGrid>
        <w:gridCol w:w="1685"/>
        <w:gridCol w:w="3974"/>
        <w:gridCol w:w="4277"/>
      </w:tblGrid>
      <w:tr>
        <w:trPr>
          <w:cantSplit/>
        </w:trPr>
        <w:tc>
          <w:tcPr>
            <w:tcW w:type="dxa" w:w="3312"/>
            <w:shd w:fill="1F3448"/>
            <w:vAlign w:val="center"/>
            <w:tcMar>
              <w:top w:w="92" w:type="dxa"/>
              <w:start w:w="125" w:type="dxa"/>
              <w:bottom w:w="92" w:type="dxa"/>
              <w:end w:w="125" w:type="dxa"/>
            </w:tcMar>
          </w:tcPr>
          <w:p>
            <w:r>
              <w:rPr>
                <w:b/>
                <w:color w:val="FFFFFF"/>
                <w:sz w:val="18"/>
              </w:rPr>
              <w:t>Step</w:t>
            </w:r>
          </w:p>
        </w:tc>
        <w:tc>
          <w:tcPr>
            <w:tcW w:type="dxa" w:w="3312"/>
            <w:shd w:fill="1F3448"/>
            <w:vAlign w:val="center"/>
            <w:tcMar>
              <w:top w:w="92" w:type="dxa"/>
              <w:start w:w="125" w:type="dxa"/>
              <w:bottom w:w="92" w:type="dxa"/>
              <w:end w:w="125" w:type="dxa"/>
            </w:tcMar>
          </w:tcPr>
          <w:p>
            <w:r>
              <w:rPr>
                <w:b/>
                <w:color w:val="FFFFFF"/>
                <w:sz w:val="18"/>
              </w:rPr>
              <w:t>ML example</w:t>
            </w:r>
          </w:p>
        </w:tc>
        <w:tc>
          <w:tcPr>
            <w:tcW w:type="dxa" w:w="3312"/>
            <w:shd w:fill="1F3448"/>
            <w:vAlign w:val="center"/>
            <w:tcMar>
              <w:top w:w="92" w:type="dxa"/>
              <w:start w:w="125" w:type="dxa"/>
              <w:bottom w:w="92" w:type="dxa"/>
              <w:end w:w="125" w:type="dxa"/>
            </w:tcMar>
          </w:tcPr>
          <w:p>
            <w:r>
              <w:rPr>
                <w:b/>
                <w:color w:val="FFFFFF"/>
                <w:sz w:val="18"/>
              </w:rPr>
              <w:t>Relevant capability</w:t>
            </w:r>
          </w:p>
        </w:tc>
      </w:tr>
      <w:tr>
        <w:trPr>
          <w:cantSplit/>
        </w:trPr>
        <w:tc>
          <w:tcPr>
            <w:tcW w:type="dxa" w:w="1685"/>
            <w:vAlign w:val="center"/>
            <w:tcMar>
              <w:top w:w="92" w:type="dxa"/>
              <w:start w:w="125" w:type="dxa"/>
              <w:bottom w:w="92" w:type="dxa"/>
              <w:end w:w="125" w:type="dxa"/>
            </w:tcMar>
          </w:tcPr>
          <w:p>
            <w:pPr>
              <w:spacing w:after="0"/>
            </w:pPr>
            <w:r>
              <w:rPr>
                <w:sz w:val="17"/>
              </w:rPr>
              <w:t>Prepare</w:t>
            </w:r>
          </w:p>
        </w:tc>
        <w:tc>
          <w:tcPr>
            <w:tcW w:type="dxa" w:w="3974"/>
            <w:vAlign w:val="center"/>
            <w:tcMar>
              <w:top w:w="92" w:type="dxa"/>
              <w:start w:w="125" w:type="dxa"/>
              <w:bottom w:w="92" w:type="dxa"/>
              <w:end w:w="125" w:type="dxa"/>
            </w:tcMar>
          </w:tcPr>
          <w:p>
            <w:pPr>
              <w:spacing w:after="0"/>
            </w:pPr>
            <w:r>
              <w:rPr>
                <w:sz w:val="17"/>
              </w:rPr>
              <w:t>Build order / customer fraud features</w:t>
            </w:r>
          </w:p>
        </w:tc>
        <w:tc>
          <w:tcPr>
            <w:tcW w:type="dxa" w:w="4277"/>
            <w:vAlign w:val="center"/>
            <w:tcMar>
              <w:top w:w="92" w:type="dxa"/>
              <w:start w:w="125" w:type="dxa"/>
              <w:bottom w:w="92" w:type="dxa"/>
              <w:end w:w="125" w:type="dxa"/>
            </w:tcMar>
          </w:tcPr>
          <w:p>
            <w:pPr>
              <w:spacing w:after="0"/>
            </w:pPr>
            <w:r>
              <w:rPr>
                <w:sz w:val="17"/>
              </w:rPr>
              <w:t>Silver / Gold / feature tables</w:t>
            </w:r>
          </w:p>
        </w:tc>
      </w:tr>
      <w:tr>
        <w:trPr>
          <w:cantSplit/>
        </w:trPr>
        <w:tc>
          <w:tcPr>
            <w:tcW w:type="dxa" w:w="1685"/>
            <w:shd w:fill="F4F7FA"/>
            <w:vAlign w:val="center"/>
            <w:tcMar>
              <w:top w:w="92" w:type="dxa"/>
              <w:start w:w="125" w:type="dxa"/>
              <w:bottom w:w="92" w:type="dxa"/>
              <w:end w:w="125" w:type="dxa"/>
            </w:tcMar>
          </w:tcPr>
          <w:p>
            <w:pPr>
              <w:spacing w:after="0"/>
            </w:pPr>
            <w:r>
              <w:rPr>
                <w:sz w:val="17"/>
              </w:rPr>
              <w:t>Experiment</w:t>
            </w:r>
          </w:p>
        </w:tc>
        <w:tc>
          <w:tcPr>
            <w:tcW w:type="dxa" w:w="3974"/>
            <w:shd w:fill="F4F7FA"/>
            <w:vAlign w:val="center"/>
            <w:tcMar>
              <w:top w:w="92" w:type="dxa"/>
              <w:start w:w="125" w:type="dxa"/>
              <w:bottom w:w="92" w:type="dxa"/>
              <w:end w:w="125" w:type="dxa"/>
            </w:tcMar>
          </w:tcPr>
          <w:p>
            <w:pPr>
              <w:spacing w:after="0"/>
            </w:pPr>
            <w:r>
              <w:rPr>
                <w:sz w:val="17"/>
              </w:rPr>
              <w:t>Train models; compare precision/recall</w:t>
            </w:r>
          </w:p>
        </w:tc>
        <w:tc>
          <w:tcPr>
            <w:tcW w:type="dxa" w:w="4277"/>
            <w:shd w:fill="F4F7FA"/>
            <w:vAlign w:val="center"/>
            <w:tcMar>
              <w:top w:w="92" w:type="dxa"/>
              <w:start w:w="125" w:type="dxa"/>
              <w:bottom w:w="92" w:type="dxa"/>
              <w:end w:w="125" w:type="dxa"/>
            </w:tcMar>
          </w:tcPr>
          <w:p>
            <w:pPr>
              <w:spacing w:after="0"/>
            </w:pPr>
            <w:r>
              <w:rPr>
                <w:sz w:val="17"/>
              </w:rPr>
              <w:t>MLflow Tracking</w:t>
            </w:r>
          </w:p>
        </w:tc>
      </w:tr>
      <w:tr>
        <w:trPr>
          <w:cantSplit/>
        </w:trPr>
        <w:tc>
          <w:tcPr>
            <w:tcW w:type="dxa" w:w="1685"/>
            <w:vAlign w:val="center"/>
            <w:tcMar>
              <w:top w:w="92" w:type="dxa"/>
              <w:start w:w="125" w:type="dxa"/>
              <w:bottom w:w="92" w:type="dxa"/>
              <w:end w:w="125" w:type="dxa"/>
            </w:tcMar>
          </w:tcPr>
          <w:p>
            <w:pPr>
              <w:spacing w:after="0"/>
            </w:pPr>
            <w:r>
              <w:rPr>
                <w:sz w:val="17"/>
              </w:rPr>
              <w:t>Register</w:t>
            </w:r>
          </w:p>
        </w:tc>
        <w:tc>
          <w:tcPr>
            <w:tcW w:type="dxa" w:w="3974"/>
            <w:vAlign w:val="center"/>
            <w:tcMar>
              <w:top w:w="92" w:type="dxa"/>
              <w:start w:w="125" w:type="dxa"/>
              <w:bottom w:w="92" w:type="dxa"/>
              <w:end w:w="125" w:type="dxa"/>
            </w:tcMar>
          </w:tcPr>
          <w:p>
            <w:pPr>
              <w:spacing w:after="0"/>
            </w:pPr>
            <w:r>
              <w:rPr>
                <w:sz w:val="17"/>
              </w:rPr>
              <w:t>Promote a chosen model version</w:t>
            </w:r>
          </w:p>
        </w:tc>
        <w:tc>
          <w:tcPr>
            <w:tcW w:type="dxa" w:w="4277"/>
            <w:vAlign w:val="center"/>
            <w:tcMar>
              <w:top w:w="92" w:type="dxa"/>
              <w:start w:w="125" w:type="dxa"/>
              <w:bottom w:w="92" w:type="dxa"/>
              <w:end w:w="125" w:type="dxa"/>
            </w:tcMar>
          </w:tcPr>
          <w:p>
            <w:pPr>
              <w:spacing w:after="0"/>
            </w:pPr>
            <w:r>
              <w:rPr>
                <w:sz w:val="17"/>
              </w:rPr>
              <w:t>Unity Catalog Model Registry</w:t>
            </w:r>
          </w:p>
        </w:tc>
      </w:tr>
      <w:tr>
        <w:trPr>
          <w:cantSplit/>
        </w:trPr>
        <w:tc>
          <w:tcPr>
            <w:tcW w:type="dxa" w:w="1685"/>
            <w:shd w:fill="F4F7FA"/>
            <w:vAlign w:val="center"/>
            <w:tcMar>
              <w:top w:w="92" w:type="dxa"/>
              <w:start w:w="125" w:type="dxa"/>
              <w:bottom w:w="92" w:type="dxa"/>
              <w:end w:w="125" w:type="dxa"/>
            </w:tcMar>
          </w:tcPr>
          <w:p>
            <w:pPr>
              <w:spacing w:after="0"/>
            </w:pPr>
            <w:r>
              <w:rPr>
                <w:sz w:val="17"/>
              </w:rPr>
              <w:t>Deploy</w:t>
            </w:r>
          </w:p>
        </w:tc>
        <w:tc>
          <w:tcPr>
            <w:tcW w:type="dxa" w:w="3974"/>
            <w:shd w:fill="F4F7FA"/>
            <w:vAlign w:val="center"/>
            <w:tcMar>
              <w:top w:w="92" w:type="dxa"/>
              <w:start w:w="125" w:type="dxa"/>
              <w:bottom w:w="92" w:type="dxa"/>
              <w:end w:w="125" w:type="dxa"/>
            </w:tcMar>
          </w:tcPr>
          <w:p>
            <w:pPr>
              <w:spacing w:after="0"/>
            </w:pPr>
            <w:r>
              <w:rPr>
                <w:sz w:val="17"/>
              </w:rPr>
              <w:t>Expose real-time risk scoring</w:t>
            </w:r>
          </w:p>
        </w:tc>
        <w:tc>
          <w:tcPr>
            <w:tcW w:type="dxa" w:w="4277"/>
            <w:shd w:fill="F4F7FA"/>
            <w:vAlign w:val="center"/>
            <w:tcMar>
              <w:top w:w="92" w:type="dxa"/>
              <w:start w:w="125" w:type="dxa"/>
              <w:bottom w:w="92" w:type="dxa"/>
              <w:end w:w="125" w:type="dxa"/>
            </w:tcMar>
          </w:tcPr>
          <w:p>
            <w:pPr>
              <w:spacing w:after="0"/>
            </w:pPr>
            <w:r>
              <w:rPr>
                <w:sz w:val="17"/>
              </w:rPr>
              <w:t>Databricks Model Serving</w:t>
            </w:r>
          </w:p>
        </w:tc>
      </w:tr>
      <w:tr>
        <w:trPr>
          <w:cantSplit/>
        </w:trPr>
        <w:tc>
          <w:tcPr>
            <w:tcW w:type="dxa" w:w="1685"/>
            <w:vAlign w:val="center"/>
            <w:tcMar>
              <w:top w:w="92" w:type="dxa"/>
              <w:start w:w="125" w:type="dxa"/>
              <w:bottom w:w="92" w:type="dxa"/>
              <w:end w:w="125" w:type="dxa"/>
            </w:tcMar>
          </w:tcPr>
          <w:p>
            <w:pPr>
              <w:spacing w:after="0"/>
            </w:pPr>
            <w:r>
              <w:rPr>
                <w:sz w:val="17"/>
              </w:rPr>
              <w:t>Operate</w:t>
            </w:r>
          </w:p>
        </w:tc>
        <w:tc>
          <w:tcPr>
            <w:tcW w:type="dxa" w:w="3974"/>
            <w:vAlign w:val="center"/>
            <w:tcMar>
              <w:top w:w="92" w:type="dxa"/>
              <w:start w:w="125" w:type="dxa"/>
              <w:bottom w:w="92" w:type="dxa"/>
              <w:end w:w="125" w:type="dxa"/>
            </w:tcMar>
          </w:tcPr>
          <w:p>
            <w:pPr>
              <w:spacing w:after="0"/>
            </w:pPr>
            <w:r>
              <w:rPr>
                <w:sz w:val="17"/>
              </w:rPr>
              <w:t>Watch drift, quality, latency and costs</w:t>
            </w:r>
          </w:p>
        </w:tc>
        <w:tc>
          <w:tcPr>
            <w:tcW w:type="dxa" w:w="4277"/>
            <w:vAlign w:val="center"/>
            <w:tcMar>
              <w:top w:w="92" w:type="dxa"/>
              <w:start w:w="125" w:type="dxa"/>
              <w:bottom w:w="92" w:type="dxa"/>
              <w:end w:w="125" w:type="dxa"/>
            </w:tcMar>
          </w:tcPr>
          <w:p>
            <w:pPr>
              <w:spacing w:after="0"/>
            </w:pPr>
            <w:r>
              <w:rPr>
                <w:sz w:val="17"/>
              </w:rPr>
              <w:t>Monitoring, Jobs, logs / metrics</w:t>
            </w:r>
          </w:p>
        </w:tc>
      </w:tr>
    </w:tbl>
    <w:p>
      <w:pPr>
        <w:spacing w:after="20"/>
        <w:widowControl/>
      </w:pPr>
    </w:p>
    <w:tbl>
      <w:tblPr>
        <w:tblW w:type="auto" w:w="0"/>
        <w:tblLayout w:type="fixed"/>
        <w:tblLook w:firstColumn="1" w:firstRow="1" w:lastColumn="0" w:lastRow="0" w:noHBand="0" w:noVBand="1" w:val="04A0"/>
      </w:tblPr>
      <w:tblGrid>
        <w:gridCol w:w="9864"/>
      </w:tblGrid>
      <w:tr>
        <w:tc>
          <w:tcPr>
            <w:tcW w:type="dxa" w:w="9936"/>
            <w:shd w:fill="E7F2F2"/>
            <w:tcMar>
              <w:top w:w="160" w:type="dxa"/>
              <w:start w:w="180" w:type="dxa"/>
              <w:bottom w:w="150" w:type="dxa"/>
              <w:end w:w="180" w:type="dxa"/>
            </w:tcMar>
          </w:tcPr>
          <w:p>
            <w:pPr>
              <w:spacing w:after="0"/>
            </w:pPr>
            <w:r>
              <w:rPr>
                <w:b/>
                <w:color w:val="267276"/>
                <w:sz w:val="18"/>
              </w:rPr>
              <w:t xml:space="preserve">DESIGN TAKEAWAY   </w:t>
            </w:r>
            <w:r>
              <w:rPr>
                <w:sz w:val="19"/>
              </w:rPr>
              <w:t>Do not make the model training lifecycle part of the daily BI refresh unless there is a genuine dependency. The same governed tables may support multiple independent consumers.</w:t>
            </w:r>
          </w:p>
        </w:tc>
      </w:tr>
    </w:tbl>
    <w:p>
      <w:pPr>
        <w:spacing w:after="20"/>
        <w:widowControl/>
      </w:pPr>
    </w:p>
    <w:p>
      <w:pPr>
        <w:pStyle w:val="Heading1"/>
        <w:widowControl/>
      </w:pPr>
      <w:r>
        <w:t>08  Governance: Unity Catalog as the Control Room</w:t>
      </w:r>
    </w:p>
    <w:p>
      <w:pPr>
        <w:widowControl/>
      </w:pPr>
      <w:r>
        <w:t>Unity Catalog is the governance plane for registered data and AI assets. It covers access control, data discovery, lineage and auditing, with security controls at the appropriate layers. The catalog hierarchy is typically catalog.schema.object.</w:t>
      </w:r>
    </w:p>
    <w:tbl>
      <w:tblPr>
        <w:tblW w:type="auto" w:w="0"/>
        <w:tblLayout w:type="fixed"/>
        <w:tblLook w:firstColumn="1" w:firstRow="1" w:lastColumn="0" w:lastRow="0" w:noHBand="0" w:noVBand="1" w:val="04A0"/>
      </w:tblPr>
      <w:tblGrid>
        <w:gridCol w:w="9850"/>
      </w:tblGrid>
      <w:tr>
        <w:trPr>
          <w:cantSplit/>
        </w:trPr>
        <w:tc>
          <w:tcPr>
            <w:tcW w:type="dxa" w:w="9936"/>
            <w:shd w:fill="EDF1F5"/>
            <w:tcMar>
              <w:top w:w="130" w:type="dxa"/>
              <w:start w:w="140" w:type="dxa"/>
              <w:bottom w:w="130" w:type="dxa"/>
              <w:end w:w="140" w:type="dxa"/>
            </w:tcMar>
            <w:vAlign w:val="center"/>
            <w:tcMar>
              <w:top w:w="92" w:type="dxa"/>
              <w:start w:w="125" w:type="dxa"/>
              <w:bottom w:w="92" w:type="dxa"/>
              <w:end w:w="125" w:type="dxa"/>
            </w:tcMar>
          </w:tcPr>
          <w:p>
            <w:pPr>
              <w:pStyle w:val="CodeBlock"/>
              <w:spacing w:after="0"/>
            </w:pPr>
            <w:r/>
            <w:r>
              <w:t>commerce_prod.bronze.orders_cdc</w:t>
            </w:r>
          </w:p>
          <w:p>
            <w:pPr>
              <w:pStyle w:val="CodeBlock"/>
              <w:spacing w:after="0"/>
            </w:pPr>
            <w:r>
              <w:t>commerce_prod.silver.orders_current</w:t>
            </w:r>
          </w:p>
          <w:p>
            <w:pPr>
              <w:pStyle w:val="CodeBlock"/>
              <w:spacing w:after="0"/>
            </w:pPr>
            <w:r>
              <w:t>commerce_prod.gold.fact_order_items</w:t>
            </w:r>
          </w:p>
          <w:p>
            <w:pPr>
              <w:pStyle w:val="CodeBlock"/>
              <w:spacing w:after="0"/>
            </w:pPr>
            <w:r>
              <w:t>commerce_prod.gold.daily_net_sales</w:t>
            </w:r>
          </w:p>
        </w:tc>
      </w:tr>
    </w:tbl>
    <w:p>
      <w:pPr>
        <w:spacing w:after="40"/>
        <w:widowControl/>
      </w:pPr>
    </w:p>
    <w:p>
      <w:pPr>
        <w:pStyle w:val="Heading2"/>
        <w:widowControl/>
      </w:pPr>
      <w:r>
        <w:t>Access policy for the example</w:t>
      </w:r>
    </w:p>
    <w:tbl>
      <w:tblPr>
        <w:tblStyle w:val="TableGrid"/>
        <w:tblW w:type="auto" w:w="0"/>
        <w:jc w:val="center"/>
        <w:tblLayout w:type="fixed"/>
        <w:tblLook w:firstColumn="1" w:firstRow="1" w:lastColumn="0" w:lastRow="0" w:noHBand="0" w:noVBand="1" w:val="04A0"/>
      </w:tblPr>
      <w:tblGrid>
        <w:gridCol w:w="2030"/>
        <w:gridCol w:w="4003"/>
        <w:gridCol w:w="3888"/>
      </w:tblGrid>
      <w:tr>
        <w:trPr>
          <w:cantSplit/>
        </w:trPr>
        <w:tc>
          <w:tcPr>
            <w:tcW w:type="dxa" w:w="3312"/>
            <w:shd w:fill="1F3448"/>
            <w:vAlign w:val="center"/>
            <w:tcMar>
              <w:top w:w="92" w:type="dxa"/>
              <w:start w:w="125" w:type="dxa"/>
              <w:bottom w:w="92" w:type="dxa"/>
              <w:end w:w="125" w:type="dxa"/>
            </w:tcMar>
          </w:tcPr>
          <w:p>
            <w:r>
              <w:rPr>
                <w:b/>
                <w:color w:val="FFFFFF"/>
                <w:sz w:val="18"/>
              </w:rPr>
              <w:t>Persona</w:t>
            </w:r>
          </w:p>
        </w:tc>
        <w:tc>
          <w:tcPr>
            <w:tcW w:type="dxa" w:w="3312"/>
            <w:shd w:fill="1F3448"/>
            <w:vAlign w:val="center"/>
            <w:tcMar>
              <w:top w:w="92" w:type="dxa"/>
              <w:start w:w="125" w:type="dxa"/>
              <w:bottom w:w="92" w:type="dxa"/>
              <w:end w:w="125" w:type="dxa"/>
            </w:tcMar>
          </w:tcPr>
          <w:p>
            <w:r>
              <w:rPr>
                <w:b/>
                <w:color w:val="FFFFFF"/>
                <w:sz w:val="18"/>
              </w:rPr>
              <w:t>Access posture</w:t>
            </w:r>
          </w:p>
        </w:tc>
        <w:tc>
          <w:tcPr>
            <w:tcW w:type="dxa" w:w="3312"/>
            <w:shd w:fill="1F3448"/>
            <w:vAlign w:val="center"/>
            <w:tcMar>
              <w:top w:w="92" w:type="dxa"/>
              <w:start w:w="125" w:type="dxa"/>
              <w:bottom w:w="92" w:type="dxa"/>
              <w:end w:w="125" w:type="dxa"/>
            </w:tcMar>
          </w:tcPr>
          <w:p>
            <w:r>
              <w:rPr>
                <w:b/>
                <w:color w:val="FFFFFF"/>
                <w:sz w:val="18"/>
              </w:rPr>
              <w:t>Why</w:t>
            </w:r>
          </w:p>
        </w:tc>
      </w:tr>
      <w:tr>
        <w:trPr>
          <w:cantSplit/>
        </w:trPr>
        <w:tc>
          <w:tcPr>
            <w:tcW w:type="dxa" w:w="2030"/>
            <w:vAlign w:val="center"/>
            <w:tcMar>
              <w:top w:w="92" w:type="dxa"/>
              <w:start w:w="125" w:type="dxa"/>
              <w:bottom w:w="92" w:type="dxa"/>
              <w:end w:w="125" w:type="dxa"/>
            </w:tcMar>
          </w:tcPr>
          <w:p>
            <w:pPr>
              <w:spacing w:after="0"/>
            </w:pPr>
            <w:r>
              <w:rPr>
                <w:sz w:val="17"/>
              </w:rPr>
              <w:t>Ingestion service principal</w:t>
            </w:r>
          </w:p>
        </w:tc>
        <w:tc>
          <w:tcPr>
            <w:tcW w:type="dxa" w:w="4003"/>
            <w:vAlign w:val="center"/>
            <w:tcMar>
              <w:top w:w="92" w:type="dxa"/>
              <w:start w:w="125" w:type="dxa"/>
              <w:bottom w:w="92" w:type="dxa"/>
              <w:end w:w="125" w:type="dxa"/>
            </w:tcMar>
          </w:tcPr>
          <w:p>
            <w:pPr>
              <w:spacing w:after="0"/>
            </w:pPr>
            <w:r>
              <w:rPr>
                <w:sz w:val="17"/>
              </w:rPr>
              <w:t>Write scoped ingest targets + required source access</w:t>
            </w:r>
          </w:p>
        </w:tc>
        <w:tc>
          <w:tcPr>
            <w:tcW w:type="dxa" w:w="3888"/>
            <w:vAlign w:val="center"/>
            <w:tcMar>
              <w:top w:w="92" w:type="dxa"/>
              <w:start w:w="125" w:type="dxa"/>
              <w:bottom w:w="92" w:type="dxa"/>
              <w:end w:w="125" w:type="dxa"/>
            </w:tcMar>
          </w:tcPr>
          <w:p>
            <w:pPr>
              <w:spacing w:after="0"/>
            </w:pPr>
            <w:r>
              <w:rPr>
                <w:sz w:val="17"/>
              </w:rPr>
              <w:t>Least-privilege automation</w:t>
            </w:r>
          </w:p>
        </w:tc>
      </w:tr>
      <w:tr>
        <w:trPr>
          <w:cantSplit/>
        </w:trPr>
        <w:tc>
          <w:tcPr>
            <w:tcW w:type="dxa" w:w="2030"/>
            <w:shd w:fill="F4F7FA"/>
            <w:vAlign w:val="center"/>
            <w:tcMar>
              <w:top w:w="92" w:type="dxa"/>
              <w:start w:w="125" w:type="dxa"/>
              <w:bottom w:w="92" w:type="dxa"/>
              <w:end w:w="125" w:type="dxa"/>
            </w:tcMar>
          </w:tcPr>
          <w:p>
            <w:pPr>
              <w:spacing w:after="0"/>
            </w:pPr>
            <w:r>
              <w:rPr>
                <w:sz w:val="17"/>
              </w:rPr>
              <w:t>Data engineering group</w:t>
            </w:r>
          </w:p>
        </w:tc>
        <w:tc>
          <w:tcPr>
            <w:tcW w:type="dxa" w:w="4003"/>
            <w:shd w:fill="F4F7FA"/>
            <w:vAlign w:val="center"/>
            <w:tcMar>
              <w:top w:w="92" w:type="dxa"/>
              <w:start w:w="125" w:type="dxa"/>
              <w:bottom w:w="92" w:type="dxa"/>
              <w:end w:w="125" w:type="dxa"/>
            </w:tcMar>
          </w:tcPr>
          <w:p>
            <w:pPr>
              <w:spacing w:after="0"/>
            </w:pPr>
            <w:r>
              <w:rPr>
                <w:sz w:val="17"/>
              </w:rPr>
              <w:t>Manage designated Bronze / Silver pipelines</w:t>
            </w:r>
          </w:p>
        </w:tc>
        <w:tc>
          <w:tcPr>
            <w:tcW w:type="dxa" w:w="3888"/>
            <w:shd w:fill="F4F7FA"/>
            <w:vAlign w:val="center"/>
            <w:tcMar>
              <w:top w:w="92" w:type="dxa"/>
              <w:start w:w="125" w:type="dxa"/>
              <w:bottom w:w="92" w:type="dxa"/>
              <w:end w:w="125" w:type="dxa"/>
            </w:tcMar>
          </w:tcPr>
          <w:p>
            <w:pPr>
              <w:spacing w:after="0"/>
            </w:pPr>
            <w:r>
              <w:rPr>
                <w:sz w:val="17"/>
              </w:rPr>
              <w:t>Build and repair data products</w:t>
            </w:r>
          </w:p>
        </w:tc>
      </w:tr>
      <w:tr>
        <w:trPr>
          <w:cantSplit/>
        </w:trPr>
        <w:tc>
          <w:tcPr>
            <w:tcW w:type="dxa" w:w="2030"/>
            <w:vAlign w:val="center"/>
            <w:tcMar>
              <w:top w:w="92" w:type="dxa"/>
              <w:start w:w="125" w:type="dxa"/>
              <w:bottom w:w="92" w:type="dxa"/>
              <w:end w:w="125" w:type="dxa"/>
            </w:tcMar>
          </w:tcPr>
          <w:p>
            <w:pPr>
              <w:spacing w:after="0"/>
            </w:pPr>
            <w:r>
              <w:rPr>
                <w:sz w:val="17"/>
              </w:rPr>
              <w:t>BI analysts</w:t>
            </w:r>
          </w:p>
        </w:tc>
        <w:tc>
          <w:tcPr>
            <w:tcW w:type="dxa" w:w="4003"/>
            <w:vAlign w:val="center"/>
            <w:tcMar>
              <w:top w:w="92" w:type="dxa"/>
              <w:start w:w="125" w:type="dxa"/>
              <w:bottom w:w="92" w:type="dxa"/>
              <w:end w:w="125" w:type="dxa"/>
            </w:tcMar>
          </w:tcPr>
          <w:p>
            <w:pPr>
              <w:spacing w:after="0"/>
            </w:pPr>
            <w:r>
              <w:rPr>
                <w:sz w:val="17"/>
              </w:rPr>
              <w:t>SELECT in approved Gold datasets</w:t>
            </w:r>
          </w:p>
        </w:tc>
        <w:tc>
          <w:tcPr>
            <w:tcW w:type="dxa" w:w="3888"/>
            <w:vAlign w:val="center"/>
            <w:tcMar>
              <w:top w:w="92" w:type="dxa"/>
              <w:start w:w="125" w:type="dxa"/>
              <w:bottom w:w="92" w:type="dxa"/>
              <w:end w:w="125" w:type="dxa"/>
            </w:tcMar>
          </w:tcPr>
          <w:p>
            <w:pPr>
              <w:spacing w:after="0"/>
            </w:pPr>
            <w:r>
              <w:rPr>
                <w:sz w:val="17"/>
              </w:rPr>
              <w:t>Protect raw PII and unstable data</w:t>
            </w:r>
          </w:p>
        </w:tc>
      </w:tr>
      <w:tr>
        <w:trPr>
          <w:cantSplit/>
        </w:trPr>
        <w:tc>
          <w:tcPr>
            <w:tcW w:type="dxa" w:w="2030"/>
            <w:shd w:fill="F4F7FA"/>
            <w:vAlign w:val="center"/>
            <w:tcMar>
              <w:top w:w="92" w:type="dxa"/>
              <w:start w:w="125" w:type="dxa"/>
              <w:bottom w:w="92" w:type="dxa"/>
              <w:end w:w="125" w:type="dxa"/>
            </w:tcMar>
          </w:tcPr>
          <w:p>
            <w:pPr>
              <w:spacing w:after="0"/>
            </w:pPr>
            <w:r>
              <w:rPr>
                <w:sz w:val="17"/>
              </w:rPr>
              <w:t>Data scientists</w:t>
            </w:r>
          </w:p>
        </w:tc>
        <w:tc>
          <w:tcPr>
            <w:tcW w:type="dxa" w:w="4003"/>
            <w:shd w:fill="F4F7FA"/>
            <w:vAlign w:val="center"/>
            <w:tcMar>
              <w:top w:w="92" w:type="dxa"/>
              <w:start w:w="125" w:type="dxa"/>
              <w:bottom w:w="92" w:type="dxa"/>
              <w:end w:w="125" w:type="dxa"/>
            </w:tcMar>
          </w:tcPr>
          <w:p>
            <w:pPr>
              <w:spacing w:after="0"/>
            </w:pPr>
            <w:r>
              <w:rPr>
                <w:sz w:val="17"/>
              </w:rPr>
              <w:t>Approved Silver / Gold + model creation</w:t>
            </w:r>
          </w:p>
        </w:tc>
        <w:tc>
          <w:tcPr>
            <w:tcW w:type="dxa" w:w="3888"/>
            <w:shd w:fill="F4F7FA"/>
            <w:vAlign w:val="center"/>
            <w:tcMar>
              <w:top w:w="92" w:type="dxa"/>
              <w:start w:w="125" w:type="dxa"/>
              <w:bottom w:w="92" w:type="dxa"/>
              <w:end w:w="125" w:type="dxa"/>
            </w:tcMar>
          </w:tcPr>
          <w:p>
            <w:pPr>
              <w:spacing w:after="0"/>
            </w:pPr>
            <w:r>
              <w:rPr>
                <w:sz w:val="17"/>
              </w:rPr>
              <w:t>Train governed models</w:t>
            </w:r>
          </w:p>
        </w:tc>
      </w:tr>
    </w:tbl>
    <w:p>
      <w:pPr>
        <w:spacing w:after="20"/>
        <w:widowControl/>
      </w:pPr>
    </w:p>
    <w:p>
      <w:pPr>
        <w:widowControl/>
      </w:pPr>
      <w:r>
        <w:t>For SELECT to work on a table, the principal generally also needs access to the parent catalog and schema (for example USE CATALOG and USE SCHEMA) according to the applicable privilege model.</w:t>
      </w:r>
    </w:p>
    <w:tbl>
      <w:tblPr>
        <w:tblW w:type="auto" w:w="0"/>
        <w:tblLayout w:type="fixed"/>
        <w:tblLook w:firstColumn="1" w:firstRow="1" w:lastColumn="0" w:lastRow="0" w:noHBand="0" w:noVBand="1" w:val="04A0"/>
      </w:tblPr>
      <w:tblGrid>
        <w:gridCol w:w="9850"/>
      </w:tblGrid>
      <w:tr>
        <w:trPr>
          <w:cantSplit/>
        </w:trPr>
        <w:tc>
          <w:tcPr>
            <w:tcW w:type="dxa" w:w="9936"/>
            <w:shd w:fill="EDF1F5"/>
            <w:tcMar>
              <w:top w:w="130" w:type="dxa"/>
              <w:start w:w="140" w:type="dxa"/>
              <w:bottom w:w="130" w:type="dxa"/>
              <w:end w:w="140" w:type="dxa"/>
            </w:tcMar>
            <w:vAlign w:val="center"/>
            <w:tcMar>
              <w:top w:w="92" w:type="dxa"/>
              <w:start w:w="125" w:type="dxa"/>
              <w:bottom w:w="92" w:type="dxa"/>
              <w:end w:w="125" w:type="dxa"/>
            </w:tcMar>
          </w:tcPr>
          <w:p>
            <w:pPr>
              <w:pStyle w:val="CodeBlock"/>
              <w:spacing w:after="0"/>
            </w:pPr>
            <w:r/>
            <w:r>
              <w:t>GRANT USE CATALOG ON CATALOG commerce_prod TO `bi_analysts`;</w:t>
            </w:r>
          </w:p>
          <w:p>
            <w:pPr>
              <w:pStyle w:val="CodeBlock"/>
              <w:spacing w:after="0"/>
            </w:pPr>
            <w:r>
              <w:t>GRANT USE SCHEMA ON SCHEMA commerce_prod.gold TO `bi_analysts`;</w:t>
            </w:r>
          </w:p>
          <w:p>
            <w:pPr>
              <w:pStyle w:val="CodeBlock"/>
              <w:spacing w:after="0"/>
            </w:pPr>
            <w:r>
              <w:t>GRANT SELECT ON TABLE commerce_prod.gold.daily_net_sales TO `bi_analysts`;</w:t>
            </w:r>
          </w:p>
        </w:tc>
      </w:tr>
    </w:tbl>
    <w:p>
      <w:pPr>
        <w:spacing w:after="40"/>
        <w:widowControl/>
      </w:pPr>
    </w:p>
    <w:p>
      <w:pPr>
        <w:pStyle w:val="Heading2"/>
        <w:widowControl/>
      </w:pPr>
      <w:r>
        <w:t>Lineage and audit are not the same</w:t>
      </w:r>
    </w:p>
    <w:p>
      <w:pPr>
        <w:pStyle w:val="ListBullet"/>
        <w:widowControl/>
      </w:pPr>
      <w:r>
        <w:t>Lineage: orders_cdc → orders_current → fact_order_items → revenue_dashboard. It helps impact and root-cause analysis.</w:t>
      </w:r>
    </w:p>
    <w:p>
      <w:pPr>
        <w:pStyle w:val="ListBullet"/>
        <w:widowControl/>
      </w:pPr>
      <w:r>
        <w:t>Audit: who queried, modified, granted or performed an auditable action, subject to available system logs and retention.</w:t>
      </w:r>
    </w:p>
    <w:p>
      <w:pPr>
        <w:pStyle w:val="ListBullet"/>
        <w:widowControl/>
      </w:pPr>
      <w:r>
        <w:t>Fine-grained access: table privileges, row filters, masks, ABAC policies and workspace restrictions where applicable.</w:t>
      </w:r>
    </w:p>
    <w:p>
      <w:pPr>
        <w:pStyle w:val="ListBullet"/>
        <w:widowControl/>
      </w:pPr>
      <w:r>
        <w:t>Storage security still matters: cloud IAM, encryption, credentials, networking and external locations must also be configured.</w:t>
      </w:r>
    </w:p>
    <w:tbl>
      <w:tblPr>
        <w:tblW w:type="auto" w:w="0"/>
        <w:tblLayout w:type="fixed"/>
        <w:tblLook w:firstColumn="1" w:firstRow="1" w:lastColumn="0" w:lastRow="0" w:noHBand="0" w:noVBand="1" w:val="04A0"/>
      </w:tblPr>
      <w:tblGrid>
        <w:gridCol w:w="9864"/>
      </w:tblGrid>
      <w:tr>
        <w:tc>
          <w:tcPr>
            <w:tcW w:type="dxa" w:w="9936"/>
            <w:shd w:fill="E7F2F2"/>
            <w:tcMar>
              <w:top w:w="160" w:type="dxa"/>
              <w:start w:w="180" w:type="dxa"/>
              <w:bottom w:w="150" w:type="dxa"/>
              <w:end w:w="180" w:type="dxa"/>
            </w:tcMar>
          </w:tcPr>
          <w:p>
            <w:pPr>
              <w:spacing w:after="0"/>
            </w:pPr>
            <w:r>
              <w:rPr>
                <w:b/>
                <w:color w:val="267276"/>
                <w:sz w:val="18"/>
              </w:rPr>
              <w:t xml:space="preserve">GOVERNANCE CAVEAT   </w:t>
            </w:r>
            <w:r>
              <w:rPr>
                <w:sz w:val="19"/>
              </w:rPr>
              <w:t>Unity Catalog lineage is not a magic universal tracker for any arbitrary off-platform process. Automatic lineage depends on supported Databricks workloads, assets and permissions; add external metadata/lineage explicitly where needed.</w:t>
            </w:r>
          </w:p>
        </w:tc>
      </w:tr>
    </w:tbl>
    <w:p>
      <w:pPr>
        <w:spacing w:after="20"/>
        <w:widowControl/>
      </w:pPr>
    </w:p>
    <w:p>
      <w:pPr>
        <w:pStyle w:val="Heading1"/>
        <w:widowControl/>
      </w:pPr>
      <w:r>
        <w:t>09  Orchestration: Lakeflow Jobs</w:t>
      </w:r>
    </w:p>
    <w:p>
      <w:pPr>
        <w:widowControl/>
      </w:pPr>
      <w:r>
        <w:t>A pipeline is code and data dependencies. A job is an operational workflow that runs tasks on chosen compute, with schedules/triggers, dependencies, retries and notifications. Lakeflow pipelines can orchestrate transformations inside their declarative DAG; Lakeflow Jobs can orchestrate multiple pipelines, notebooks, SQL tasks and other workloads across the end-to-end system.</w:t>
      </w:r>
    </w:p>
    <w:p>
      <w:pPr>
        <w:pStyle w:val="Heading2"/>
        <w:widowControl/>
      </w:pPr>
      <w:r>
        <w:t>Suggested e-commerce production DAG</w:t>
      </w:r>
    </w:p>
    <w:tbl>
      <w:tblPr>
        <w:tblW w:type="auto" w:w="0"/>
        <w:tblLayout w:type="fixed"/>
        <w:tblLook w:firstColumn="1" w:firstRow="1" w:lastColumn="0" w:lastRow="0" w:noHBand="0" w:noVBand="1" w:val="04A0"/>
      </w:tblPr>
      <w:tblGrid>
        <w:gridCol w:w="9850"/>
      </w:tblGrid>
      <w:tr>
        <w:trPr>
          <w:cantSplit/>
        </w:trPr>
        <w:tc>
          <w:tcPr>
            <w:tcW w:type="dxa" w:w="9936"/>
            <w:shd w:fill="EDF1F5"/>
            <w:tcMar>
              <w:top w:w="130" w:type="dxa"/>
              <w:start w:w="140" w:type="dxa"/>
              <w:bottom w:w="130" w:type="dxa"/>
              <w:end w:w="140" w:type="dxa"/>
            </w:tcMar>
            <w:vAlign w:val="center"/>
            <w:tcMar>
              <w:top w:w="92" w:type="dxa"/>
              <w:start w:w="125" w:type="dxa"/>
              <w:bottom w:w="92" w:type="dxa"/>
              <w:end w:w="125" w:type="dxa"/>
            </w:tcMar>
          </w:tcPr>
          <w:p>
            <w:pPr>
              <w:pStyle w:val="CodeBlock"/>
              <w:spacing w:after="0"/>
            </w:pPr>
            <w:r/>
            <w:r>
              <w:t>01_ingest_orders  -----+</w:t>
            </w:r>
          </w:p>
          <w:p>
            <w:pPr>
              <w:pStyle w:val="CodeBlock"/>
              <w:spacing w:after="0"/>
            </w:pPr>
            <w:r>
              <w:t>01_ingest_payments -----+--&gt; 02_silver_curate --&gt; 03_data_quality</w:t>
            </w:r>
          </w:p>
          <w:p>
            <w:pPr>
              <w:pStyle w:val="CodeBlock"/>
              <w:spacing w:after="0"/>
            </w:pPr>
            <w:r>
              <w:t>01_ingest_partner  -----+                            |</w:t>
            </w:r>
          </w:p>
          <w:p>
            <w:pPr>
              <w:pStyle w:val="CodeBlock"/>
              <w:spacing w:after="0"/>
            </w:pPr>
            <w:r>
              <w:t xml:space="preserve">                                                    v</w:t>
            </w:r>
          </w:p>
          <w:p>
            <w:pPr>
              <w:pStyle w:val="CodeBlock"/>
              <w:spacing w:after="0"/>
            </w:pPr>
            <w:r>
              <w:t xml:space="preserve">                                           04_publish_gold</w:t>
            </w:r>
          </w:p>
          <w:p>
            <w:pPr>
              <w:pStyle w:val="CodeBlock"/>
              <w:spacing w:after="0"/>
            </w:pPr>
            <w:r>
              <w:t xml:space="preserve">                                                    |</w:t>
            </w:r>
          </w:p>
          <w:p>
            <w:pPr>
              <w:pStyle w:val="CodeBlock"/>
              <w:spacing w:after="0"/>
            </w:pPr>
            <w:r>
              <w:t xml:space="preserve">                                       05_dashboard_freshness_check</w:t>
            </w:r>
          </w:p>
        </w:tc>
      </w:tr>
    </w:tbl>
    <w:p>
      <w:pPr>
        <w:spacing w:after="40"/>
        <w:widowControl/>
      </w:pPr>
    </w:p>
    <w:p>
      <w:pPr>
        <w:widowControl/>
      </w:pPr>
      <w:r>
        <w:t>Independent ingestion tasks can run in parallel. Make gold publication depend on reconciled Silver and successful critical checks. Use conditional tasks/branching where needed, and ensure repeated runs are idempotent.</w:t>
      </w:r>
    </w:p>
    <w:p>
      <w:pPr>
        <w:pStyle w:val="Heading2"/>
        <w:widowControl/>
      </w:pPr>
      <w:r>
        <w:t>Triggers, reliability and operations</w:t>
      </w:r>
    </w:p>
    <w:p>
      <w:pPr>
        <w:pStyle w:val="ListBullet"/>
        <w:widowControl/>
      </w:pPr>
      <w:r>
        <w:t>Run by schedule, file-arrival, table update, model update, continuous trigger, or manual/API invocation as supported.</w:t>
      </w:r>
    </w:p>
    <w:p>
      <w:pPr>
        <w:pStyle w:val="ListBullet"/>
        <w:widowControl/>
      </w:pPr>
      <w:r>
        <w:t>Use retries for transient failures, but make writes safe on reruns (stable keys, checkpoints, version-based merges).</w:t>
      </w:r>
    </w:p>
    <w:p>
      <w:pPr>
        <w:pStyle w:val="ListBullet"/>
        <w:widowControl/>
      </w:pPr>
      <w:r>
        <w:t>Capture run ID, input/output row counts, freshness, rejected records, duration and the owning team.</w:t>
      </w:r>
    </w:p>
    <w:p>
      <w:pPr>
        <w:pStyle w:val="ListBullet"/>
        <w:widowControl/>
      </w:pPr>
      <w:r>
        <w:t>Have an explicit recovery path: restart after transient failures, backfill date ranges, restore/rebuild from Bronze where retained.</w:t>
      </w:r>
    </w:p>
    <w:p>
      <w:pPr>
        <w:pStyle w:val="Heading1"/>
        <w:widowControl/>
      </w:pPr>
      <w:r>
        <w:t>10  CI/CD: From Code to Production Safely</w:t>
      </w:r>
    </w:p>
    <w:p>
      <w:pPr>
        <w:widowControl/>
      </w:pPr>
      <w:r>
        <w:t>The current Databricks product name is Declarative Automation Bundles (formerly Databricks Asset Bundles / DABs, renamed March 2026). Bundles declare project files and resources—jobs, pipelines and environment-specific settings—in source-controlled configuration. They enable validation, review and consistent deployment; the bundle is not an orchestration engine on its own.</w:t>
      </w:r>
    </w:p>
    <w:p>
      <w:pPr>
        <w:pStyle w:val="Heading2"/>
        <w:widowControl/>
      </w:pPr>
      <w:r>
        <w:t>Example project structure</w:t>
      </w:r>
    </w:p>
    <w:tbl>
      <w:tblPr>
        <w:tblW w:type="auto" w:w="0"/>
        <w:tblLayout w:type="fixed"/>
        <w:tblLook w:firstColumn="1" w:firstRow="1" w:lastColumn="0" w:lastRow="0" w:noHBand="0" w:noVBand="1" w:val="04A0"/>
      </w:tblPr>
      <w:tblGrid>
        <w:gridCol w:w="9850"/>
      </w:tblGrid>
      <w:tr>
        <w:trPr>
          <w:cantSplit/>
        </w:trPr>
        <w:tc>
          <w:tcPr>
            <w:tcW w:type="dxa" w:w="9936"/>
            <w:shd w:fill="EDF1F5"/>
            <w:tcMar>
              <w:top w:w="130" w:type="dxa"/>
              <w:start w:w="140" w:type="dxa"/>
              <w:bottom w:w="130" w:type="dxa"/>
              <w:end w:w="140" w:type="dxa"/>
            </w:tcMar>
            <w:vAlign w:val="center"/>
            <w:tcMar>
              <w:top w:w="92" w:type="dxa"/>
              <w:start w:w="125" w:type="dxa"/>
              <w:bottom w:w="92" w:type="dxa"/>
              <w:end w:w="125" w:type="dxa"/>
            </w:tcMar>
          </w:tcPr>
          <w:p>
            <w:pPr>
              <w:pStyle w:val="CodeBlock"/>
              <w:spacing w:after="0"/>
            </w:pPr>
            <w:r/>
            <w:r>
              <w:t>ecommerce-lakehouse/</w:t>
            </w:r>
          </w:p>
          <w:p>
            <w:pPr>
              <w:pStyle w:val="CodeBlock"/>
              <w:spacing w:after="0"/>
            </w:pPr>
            <w:r>
              <w:t xml:space="preserve">  databricks.yml</w:t>
            </w:r>
          </w:p>
          <w:p>
            <w:pPr>
              <w:pStyle w:val="CodeBlock"/>
              <w:spacing w:after="0"/>
            </w:pPr>
            <w:r>
              <w:t xml:space="preserve">  resources/</w:t>
            </w:r>
          </w:p>
          <w:p>
            <w:pPr>
              <w:pStyle w:val="CodeBlock"/>
              <w:spacing w:after="0"/>
            </w:pPr>
            <w:r>
              <w:t xml:space="preserve">    jobs.yml</w:t>
            </w:r>
          </w:p>
          <w:p>
            <w:pPr>
              <w:pStyle w:val="CodeBlock"/>
              <w:spacing w:after="0"/>
            </w:pPr>
            <w:r>
              <w:t xml:space="preserve">    pipelines.yml</w:t>
            </w:r>
          </w:p>
          <w:p>
            <w:pPr>
              <w:pStyle w:val="CodeBlock"/>
              <w:spacing w:after="0"/>
            </w:pPr>
            <w:r>
              <w:t xml:space="preserve">  src/</w:t>
            </w:r>
          </w:p>
          <w:p>
            <w:pPr>
              <w:pStyle w:val="CodeBlock"/>
              <w:spacing w:after="0"/>
            </w:pPr>
            <w:r>
              <w:t xml:space="preserve">    bronze/</w:t>
            </w:r>
          </w:p>
          <w:p>
            <w:pPr>
              <w:pStyle w:val="CodeBlock"/>
              <w:spacing w:after="0"/>
            </w:pPr>
            <w:r>
              <w:t xml:space="preserve">    silver/</w:t>
            </w:r>
          </w:p>
          <w:p>
            <w:pPr>
              <w:pStyle w:val="CodeBlock"/>
              <w:spacing w:after="0"/>
            </w:pPr>
            <w:r>
              <w:t xml:space="preserve">    gold/</w:t>
            </w:r>
          </w:p>
          <w:p>
            <w:pPr>
              <w:pStyle w:val="CodeBlock"/>
              <w:spacing w:after="0"/>
            </w:pPr>
            <w:r>
              <w:t xml:space="preserve">  tests/</w:t>
            </w:r>
          </w:p>
          <w:p>
            <w:pPr>
              <w:pStyle w:val="CodeBlock"/>
              <w:spacing w:after="0"/>
            </w:pPr>
            <w:r>
              <w:t xml:space="preserve">    test_business_rules.py</w:t>
            </w:r>
          </w:p>
          <w:p>
            <w:pPr>
              <w:pStyle w:val="CodeBlock"/>
              <w:spacing w:after="0"/>
            </w:pPr>
            <w:r>
              <w:t xml:space="preserve">  README.md</w:t>
            </w:r>
          </w:p>
        </w:tc>
      </w:tr>
    </w:tbl>
    <w:p>
      <w:pPr>
        <w:spacing w:after="40"/>
        <w:widowControl/>
      </w:pPr>
    </w:p>
    <w:p>
      <w:pPr>
        <w:pStyle w:val="Heading2"/>
        <w:widowControl/>
      </w:pPr>
      <w:r>
        <w:t>Minimal illustrative bundle manifest</w:t>
      </w:r>
    </w:p>
    <w:tbl>
      <w:tblPr>
        <w:tblW w:type="auto" w:w="0"/>
        <w:tblLayout w:type="fixed"/>
        <w:tblLook w:firstColumn="1" w:firstRow="1" w:lastColumn="0" w:lastRow="0" w:noHBand="0" w:noVBand="1" w:val="04A0"/>
      </w:tblPr>
      <w:tblGrid>
        <w:gridCol w:w="9850"/>
      </w:tblGrid>
      <w:tr>
        <w:trPr>
          <w:cantSplit/>
        </w:trPr>
        <w:tc>
          <w:tcPr>
            <w:tcW w:type="dxa" w:w="9936"/>
            <w:shd w:fill="EDF1F5"/>
            <w:tcMar>
              <w:top w:w="130" w:type="dxa"/>
              <w:start w:w="140" w:type="dxa"/>
              <w:bottom w:w="130" w:type="dxa"/>
              <w:end w:w="140" w:type="dxa"/>
            </w:tcMar>
            <w:vAlign w:val="center"/>
            <w:tcMar>
              <w:top w:w="92" w:type="dxa"/>
              <w:start w:w="125" w:type="dxa"/>
              <w:bottom w:w="92" w:type="dxa"/>
              <w:end w:w="125" w:type="dxa"/>
            </w:tcMar>
          </w:tcPr>
          <w:p>
            <w:pPr>
              <w:pStyle w:val="CodeBlock"/>
              <w:spacing w:after="0"/>
            </w:pPr>
            <w:r/>
            <w:r>
              <w:t>bundle:</w:t>
            </w:r>
          </w:p>
          <w:p>
            <w:pPr>
              <w:pStyle w:val="CodeBlock"/>
              <w:spacing w:after="0"/>
            </w:pPr>
            <w:r>
              <w:t xml:space="preserve">  name: ecommerce_lakehouse</w:t>
            </w:r>
          </w:p>
          <w:p>
            <w:pPr>
              <w:pStyle w:val="CodeBlock"/>
              <w:spacing w:after="0"/>
            </w:pPr>
            <w:r>
              <w:t xml:space="preserve"> </w:t>
            </w:r>
          </w:p>
          <w:p>
            <w:pPr>
              <w:pStyle w:val="CodeBlock"/>
              <w:spacing w:after="0"/>
            </w:pPr>
            <w:r>
              <w:t>include:</w:t>
            </w:r>
          </w:p>
          <w:p>
            <w:pPr>
              <w:pStyle w:val="CodeBlock"/>
              <w:spacing w:after="0"/>
            </w:pPr>
            <w:r>
              <w:t xml:space="preserve">  - resources/*.yml</w:t>
            </w:r>
          </w:p>
          <w:p>
            <w:pPr>
              <w:pStyle w:val="CodeBlock"/>
              <w:spacing w:after="0"/>
            </w:pPr>
            <w:r>
              <w:t xml:space="preserve"> </w:t>
            </w:r>
          </w:p>
          <w:p>
            <w:pPr>
              <w:pStyle w:val="CodeBlock"/>
              <w:spacing w:after="0"/>
            </w:pPr>
            <w:r>
              <w:t>targets:</w:t>
            </w:r>
          </w:p>
          <w:p>
            <w:pPr>
              <w:pStyle w:val="CodeBlock"/>
              <w:spacing w:after="0"/>
            </w:pPr>
            <w:r>
              <w:t xml:space="preserve">  dev:</w:t>
            </w:r>
          </w:p>
          <w:p>
            <w:pPr>
              <w:pStyle w:val="CodeBlock"/>
              <w:spacing w:after="0"/>
            </w:pPr>
            <w:r>
              <w:t xml:space="preserve">    default: true</w:t>
            </w:r>
          </w:p>
          <w:p>
            <w:pPr>
              <w:pStyle w:val="CodeBlock"/>
              <w:spacing w:after="0"/>
            </w:pPr>
            <w:r>
              <w:t xml:space="preserve">    mode: development</w:t>
            </w:r>
          </w:p>
          <w:p>
            <w:pPr>
              <w:pStyle w:val="CodeBlock"/>
              <w:spacing w:after="0"/>
            </w:pPr>
            <w:r>
              <w:t xml:space="preserve">  prod:</w:t>
            </w:r>
          </w:p>
          <w:p>
            <w:pPr>
              <w:pStyle w:val="CodeBlock"/>
              <w:spacing w:after="0"/>
            </w:pPr>
            <w:r>
              <w:t xml:space="preserve">    mode: production</w:t>
            </w:r>
          </w:p>
        </w:tc>
      </w:tr>
    </w:tbl>
    <w:p>
      <w:pPr>
        <w:spacing w:after="40"/>
        <w:widowControl/>
      </w:pPr>
    </w:p>
    <w:p>
      <w:pPr>
        <w:widowControl/>
      </w:pPr>
      <w:r>
        <w:t>Environment-specific workspace settings, identities, permissions and resources belong in the actual project configuration. The example intentionally omits sensitive URLs, credentials and job/pipeline resource definitions.</w:t>
      </w:r>
    </w:p>
    <w:p>
      <w:pPr>
        <w:pStyle w:val="Heading2"/>
        <w:widowControl/>
      </w:pPr>
      <w:r>
        <w:t>Promotion workflow</w:t>
      </w:r>
    </w:p>
    <w:p>
      <w:pPr>
        <w:pStyle w:val="ListNumber"/>
        <w:widowControl/>
      </w:pPr>
      <w:r>
        <w:t>Feature branch → code review and unit tests (business transformations, data contracts).</w:t>
      </w:r>
    </w:p>
    <w:p>
      <w:pPr>
        <w:pStyle w:val="ListNumber"/>
        <w:widowControl/>
      </w:pPr>
      <w:r>
        <w:t>Validate the bundle and the pipeline graph (where applicable).</w:t>
      </w:r>
    </w:p>
    <w:p>
      <w:pPr>
        <w:pStyle w:val="ListNumber"/>
        <w:widowControl/>
      </w:pPr>
      <w:r>
        <w:t>Deploy to DEV and run integration / data-quality / reconciliation checks.</w:t>
      </w:r>
    </w:p>
    <w:p>
      <w:pPr>
        <w:pStyle w:val="ListNumber"/>
        <w:widowControl/>
      </w:pPr>
      <w:r>
        <w:t>Promote reviewed configuration and code to PROD using an approved deployment identity.</w:t>
      </w:r>
    </w:p>
    <w:p>
      <w:pPr>
        <w:pStyle w:val="ListNumber"/>
        <w:widowControl/>
      </w:pPr>
      <w:r>
        <w:t>Verify production resources, schedules, permissions and end-to-end data outputs.</w:t>
      </w:r>
    </w:p>
    <w:tbl>
      <w:tblPr>
        <w:tblW w:type="auto" w:w="0"/>
        <w:tblLayout w:type="fixed"/>
        <w:tblLook w:firstColumn="1" w:firstRow="1" w:lastColumn="0" w:lastRow="0" w:noHBand="0" w:noVBand="1" w:val="04A0"/>
      </w:tblPr>
      <w:tblGrid>
        <w:gridCol w:w="9850"/>
      </w:tblGrid>
      <w:tr>
        <w:trPr>
          <w:cantSplit/>
        </w:trPr>
        <w:tc>
          <w:tcPr>
            <w:tcW w:type="dxa" w:w="9936"/>
            <w:shd w:fill="EDF1F5"/>
            <w:tcMar>
              <w:top w:w="130" w:type="dxa"/>
              <w:start w:w="140" w:type="dxa"/>
              <w:bottom w:w="130" w:type="dxa"/>
              <w:end w:w="140" w:type="dxa"/>
            </w:tcMar>
            <w:vAlign w:val="center"/>
            <w:tcMar>
              <w:top w:w="92" w:type="dxa"/>
              <w:start w:w="125" w:type="dxa"/>
              <w:bottom w:w="92" w:type="dxa"/>
              <w:end w:w="125" w:type="dxa"/>
            </w:tcMar>
          </w:tcPr>
          <w:p>
            <w:pPr>
              <w:pStyle w:val="CodeBlock"/>
              <w:spacing w:after="0"/>
            </w:pPr>
            <w:r/>
            <w:r>
              <w:t>databricks bundle validate -t dev</w:t>
            </w:r>
          </w:p>
          <w:p>
            <w:pPr>
              <w:pStyle w:val="CodeBlock"/>
              <w:spacing w:after="0"/>
            </w:pPr>
            <w:r>
              <w:t>databricks bundle deploy   -t dev</w:t>
            </w:r>
          </w:p>
          <w:p>
            <w:pPr>
              <w:pStyle w:val="CodeBlock"/>
              <w:spacing w:after="0"/>
            </w:pPr>
            <w:r>
              <w:t># After gated release approval:</w:t>
            </w:r>
          </w:p>
          <w:p>
            <w:pPr>
              <w:pStyle w:val="CodeBlock"/>
              <w:spacing w:after="0"/>
            </w:pPr>
            <w:r>
              <w:t>databricks bundle validate -t prod</w:t>
            </w:r>
          </w:p>
          <w:p>
            <w:pPr>
              <w:pStyle w:val="CodeBlock"/>
              <w:spacing w:after="0"/>
            </w:pPr>
            <w:r>
              <w:t>databricks bundle deploy   -t prod</w:t>
            </w:r>
          </w:p>
        </w:tc>
      </w:tr>
    </w:tbl>
    <w:p>
      <w:pPr>
        <w:spacing w:after="40"/>
        <w:widowControl/>
      </w:pPr>
    </w:p>
    <w:tbl>
      <w:tblPr>
        <w:tblW w:type="auto" w:w="0"/>
        <w:tblLayout w:type="fixed"/>
        <w:tblLook w:firstColumn="1" w:firstRow="1" w:lastColumn="0" w:lastRow="0" w:noHBand="0" w:noVBand="1" w:val="04A0"/>
      </w:tblPr>
      <w:tblGrid>
        <w:gridCol w:w="9864"/>
      </w:tblGrid>
      <w:tr>
        <w:tc>
          <w:tcPr>
            <w:tcW w:type="dxa" w:w="9936"/>
            <w:shd w:fill="E7F2F2"/>
            <w:tcMar>
              <w:top w:w="160" w:type="dxa"/>
              <w:start w:w="180" w:type="dxa"/>
              <w:bottom w:w="150" w:type="dxa"/>
              <w:end w:w="180" w:type="dxa"/>
            </w:tcMar>
          </w:tcPr>
          <w:p>
            <w:pPr>
              <w:spacing w:after="0"/>
            </w:pPr>
            <w:r>
              <w:rPr>
                <w:b/>
                <w:color w:val="267276"/>
                <w:sz w:val="18"/>
              </w:rPr>
              <w:t xml:space="preserve">OPERATIONAL INSIGHT   </w:t>
            </w:r>
            <w:r>
              <w:rPr>
                <w:sz w:val="19"/>
              </w:rPr>
              <w:t>Deploying only notebooks while manually copying job YAML into production invites configuration drift. Managing jobs and pipelines as deployable resources makes changes auditable and reproducible.</w:t>
            </w:r>
          </w:p>
        </w:tc>
      </w:tr>
    </w:tbl>
    <w:p>
      <w:pPr>
        <w:spacing w:after="20"/>
        <w:widowControl/>
      </w:pPr>
    </w:p>
    <w:p>
      <w:pPr>
        <w:pStyle w:val="Heading1"/>
        <w:widowControl/>
      </w:pPr>
      <w:r>
        <w:t>11  Reliability, Performance, Security and Cost</w:t>
      </w:r>
    </w:p>
    <w:tbl>
      <w:tblPr>
        <w:tblStyle w:val="TableGrid"/>
        <w:tblW w:type="auto" w:w="0"/>
        <w:jc w:val="center"/>
        <w:tblLayout w:type="fixed"/>
        <w:tblLook w:firstColumn="1" w:firstRow="1" w:lastColumn="0" w:lastRow="0" w:noHBand="0" w:noVBand="1" w:val="04A0"/>
      </w:tblPr>
      <w:tblGrid>
        <w:gridCol w:w="1714"/>
        <w:gridCol w:w="4075"/>
        <w:gridCol w:w="4133"/>
      </w:tblGrid>
      <w:tr>
        <w:trPr>
          <w:cantSplit/>
        </w:trPr>
        <w:tc>
          <w:tcPr>
            <w:tcW w:type="dxa" w:w="3312"/>
            <w:shd w:fill="1F3448"/>
            <w:vAlign w:val="center"/>
            <w:tcMar>
              <w:top w:w="92" w:type="dxa"/>
              <w:start w:w="125" w:type="dxa"/>
              <w:bottom w:w="92" w:type="dxa"/>
              <w:end w:w="125" w:type="dxa"/>
            </w:tcMar>
          </w:tcPr>
          <w:p>
            <w:r>
              <w:rPr>
                <w:b/>
                <w:color w:val="FFFFFF"/>
                <w:sz w:val="18"/>
              </w:rPr>
              <w:t>Dimension</w:t>
            </w:r>
          </w:p>
        </w:tc>
        <w:tc>
          <w:tcPr>
            <w:tcW w:type="dxa" w:w="3312"/>
            <w:shd w:fill="1F3448"/>
            <w:vAlign w:val="center"/>
            <w:tcMar>
              <w:top w:w="92" w:type="dxa"/>
              <w:start w:w="125" w:type="dxa"/>
              <w:bottom w:w="92" w:type="dxa"/>
              <w:end w:w="125" w:type="dxa"/>
            </w:tcMar>
          </w:tcPr>
          <w:p>
            <w:r>
              <w:rPr>
                <w:b/>
                <w:color w:val="FFFFFF"/>
                <w:sz w:val="18"/>
              </w:rPr>
              <w:t>Production-grade decision</w:t>
            </w:r>
          </w:p>
        </w:tc>
        <w:tc>
          <w:tcPr>
            <w:tcW w:type="dxa" w:w="3312"/>
            <w:shd w:fill="1F3448"/>
            <w:vAlign w:val="center"/>
            <w:tcMar>
              <w:top w:w="92" w:type="dxa"/>
              <w:start w:w="125" w:type="dxa"/>
              <w:bottom w:w="92" w:type="dxa"/>
              <w:end w:w="125" w:type="dxa"/>
            </w:tcMar>
          </w:tcPr>
          <w:p>
            <w:r>
              <w:rPr>
                <w:b/>
                <w:color w:val="FFFFFF"/>
                <w:sz w:val="18"/>
              </w:rPr>
              <w:t>Failure to avoid</w:t>
            </w:r>
          </w:p>
        </w:tc>
      </w:tr>
      <w:tr>
        <w:trPr>
          <w:cantSplit/>
        </w:trPr>
        <w:tc>
          <w:tcPr>
            <w:tcW w:type="dxa" w:w="1714"/>
            <w:vAlign w:val="center"/>
            <w:tcMar>
              <w:top w:w="92" w:type="dxa"/>
              <w:start w:w="125" w:type="dxa"/>
              <w:bottom w:w="92" w:type="dxa"/>
              <w:end w:w="125" w:type="dxa"/>
            </w:tcMar>
          </w:tcPr>
          <w:p>
            <w:pPr>
              <w:spacing w:after="0"/>
            </w:pPr>
            <w:r>
              <w:rPr>
                <w:sz w:val="17"/>
              </w:rPr>
              <w:t>Freshness</w:t>
            </w:r>
          </w:p>
        </w:tc>
        <w:tc>
          <w:tcPr>
            <w:tcW w:type="dxa" w:w="4075"/>
            <w:vAlign w:val="center"/>
            <w:tcMar>
              <w:top w:w="92" w:type="dxa"/>
              <w:start w:w="125" w:type="dxa"/>
              <w:bottom w:w="92" w:type="dxa"/>
              <w:end w:w="125" w:type="dxa"/>
            </w:tcMar>
          </w:tcPr>
          <w:p>
            <w:pPr>
              <w:spacing w:after="0"/>
            </w:pPr>
            <w:r>
              <w:rPr>
                <w:sz w:val="17"/>
              </w:rPr>
              <w:t>SLA by source; lag alerts; backfill window</w:t>
            </w:r>
          </w:p>
        </w:tc>
        <w:tc>
          <w:tcPr>
            <w:tcW w:type="dxa" w:w="4133"/>
            <w:vAlign w:val="center"/>
            <w:tcMar>
              <w:top w:w="92" w:type="dxa"/>
              <w:start w:w="125" w:type="dxa"/>
              <w:bottom w:w="92" w:type="dxa"/>
              <w:end w:w="125" w:type="dxa"/>
            </w:tcMar>
          </w:tcPr>
          <w:p>
            <w:pPr>
              <w:spacing w:after="0"/>
            </w:pPr>
            <w:r>
              <w:rPr>
                <w:sz w:val="17"/>
              </w:rPr>
              <w:t>“Job succeeded” but data is stale</w:t>
            </w:r>
          </w:p>
        </w:tc>
      </w:tr>
      <w:tr>
        <w:trPr>
          <w:cantSplit/>
        </w:trPr>
        <w:tc>
          <w:tcPr>
            <w:tcW w:type="dxa" w:w="1714"/>
            <w:shd w:fill="F4F7FA"/>
            <w:vAlign w:val="center"/>
            <w:tcMar>
              <w:top w:w="92" w:type="dxa"/>
              <w:start w:w="125" w:type="dxa"/>
              <w:bottom w:w="92" w:type="dxa"/>
              <w:end w:w="125" w:type="dxa"/>
            </w:tcMar>
          </w:tcPr>
          <w:p>
            <w:pPr>
              <w:spacing w:after="0"/>
            </w:pPr>
            <w:r>
              <w:rPr>
                <w:sz w:val="17"/>
              </w:rPr>
              <w:t>Data quality</w:t>
            </w:r>
          </w:p>
        </w:tc>
        <w:tc>
          <w:tcPr>
            <w:tcW w:type="dxa" w:w="4075"/>
            <w:shd w:fill="F4F7FA"/>
            <w:vAlign w:val="center"/>
            <w:tcMar>
              <w:top w:w="92" w:type="dxa"/>
              <w:start w:w="125" w:type="dxa"/>
              <w:bottom w:w="92" w:type="dxa"/>
              <w:end w:w="125" w:type="dxa"/>
            </w:tcMar>
          </w:tcPr>
          <w:p>
            <w:pPr>
              <w:spacing w:after="0"/>
            </w:pPr>
            <w:r>
              <w:rPr>
                <w:sz w:val="17"/>
              </w:rPr>
              <w:t>Null / duplicate / reconciliation checks; quarantine</w:t>
            </w:r>
          </w:p>
        </w:tc>
        <w:tc>
          <w:tcPr>
            <w:tcW w:type="dxa" w:w="4133"/>
            <w:shd w:fill="F4F7FA"/>
            <w:vAlign w:val="center"/>
            <w:tcMar>
              <w:top w:w="92" w:type="dxa"/>
              <w:start w:w="125" w:type="dxa"/>
              <w:bottom w:w="92" w:type="dxa"/>
              <w:end w:w="125" w:type="dxa"/>
            </w:tcMar>
          </w:tcPr>
          <w:p>
            <w:pPr>
              <w:spacing w:after="0"/>
            </w:pPr>
            <w:r>
              <w:rPr>
                <w:sz w:val="17"/>
              </w:rPr>
              <w:t>Silently drop bad payments</w:t>
            </w:r>
          </w:p>
        </w:tc>
      </w:tr>
      <w:tr>
        <w:trPr>
          <w:cantSplit/>
        </w:trPr>
        <w:tc>
          <w:tcPr>
            <w:tcW w:type="dxa" w:w="1714"/>
            <w:vAlign w:val="center"/>
            <w:tcMar>
              <w:top w:w="92" w:type="dxa"/>
              <w:start w:w="125" w:type="dxa"/>
              <w:bottom w:w="92" w:type="dxa"/>
              <w:end w:w="125" w:type="dxa"/>
            </w:tcMar>
          </w:tcPr>
          <w:p>
            <w:pPr>
              <w:spacing w:after="0"/>
            </w:pPr>
            <w:r>
              <w:rPr>
                <w:sz w:val="17"/>
              </w:rPr>
              <w:t>Idempotency</w:t>
            </w:r>
          </w:p>
        </w:tc>
        <w:tc>
          <w:tcPr>
            <w:tcW w:type="dxa" w:w="4075"/>
            <w:vAlign w:val="center"/>
            <w:tcMar>
              <w:top w:w="92" w:type="dxa"/>
              <w:start w:w="125" w:type="dxa"/>
              <w:bottom w:w="92" w:type="dxa"/>
              <w:end w:w="125" w:type="dxa"/>
            </w:tcMar>
          </w:tcPr>
          <w:p>
            <w:pPr>
              <w:spacing w:after="0"/>
            </w:pPr>
            <w:r>
              <w:rPr>
                <w:sz w:val="17"/>
              </w:rPr>
              <w:t>Checkpoints, source sequence, keys, MERGE rules</w:t>
            </w:r>
          </w:p>
        </w:tc>
        <w:tc>
          <w:tcPr>
            <w:tcW w:type="dxa" w:w="4133"/>
            <w:vAlign w:val="center"/>
            <w:tcMar>
              <w:top w:w="92" w:type="dxa"/>
              <w:start w:w="125" w:type="dxa"/>
              <w:bottom w:w="92" w:type="dxa"/>
              <w:end w:w="125" w:type="dxa"/>
            </w:tcMar>
          </w:tcPr>
          <w:p>
            <w:pPr>
              <w:spacing w:after="0"/>
            </w:pPr>
            <w:r>
              <w:rPr>
                <w:sz w:val="17"/>
              </w:rPr>
              <w:t>Double-count on retries</w:t>
            </w:r>
          </w:p>
        </w:tc>
      </w:tr>
      <w:tr>
        <w:trPr>
          <w:cantSplit/>
        </w:trPr>
        <w:tc>
          <w:tcPr>
            <w:tcW w:type="dxa" w:w="1714"/>
            <w:shd w:fill="F4F7FA"/>
            <w:vAlign w:val="center"/>
            <w:tcMar>
              <w:top w:w="92" w:type="dxa"/>
              <w:start w:w="125" w:type="dxa"/>
              <w:bottom w:w="92" w:type="dxa"/>
              <w:end w:w="125" w:type="dxa"/>
            </w:tcMar>
          </w:tcPr>
          <w:p>
            <w:pPr>
              <w:spacing w:after="0"/>
            </w:pPr>
            <w:r>
              <w:rPr>
                <w:sz w:val="17"/>
              </w:rPr>
              <w:t>CDC correctness</w:t>
            </w:r>
          </w:p>
        </w:tc>
        <w:tc>
          <w:tcPr>
            <w:tcW w:type="dxa" w:w="4075"/>
            <w:shd w:fill="F4F7FA"/>
            <w:vAlign w:val="center"/>
            <w:tcMar>
              <w:top w:w="92" w:type="dxa"/>
              <w:start w:w="125" w:type="dxa"/>
              <w:bottom w:w="92" w:type="dxa"/>
              <w:end w:w="125" w:type="dxa"/>
            </w:tcMar>
          </w:tcPr>
          <w:p>
            <w:pPr>
              <w:spacing w:after="0"/>
            </w:pPr>
            <w:r>
              <w:rPr>
                <w:sz w:val="17"/>
              </w:rPr>
              <w:t>Handle deletes, out-of-order and schema drift</w:t>
            </w:r>
          </w:p>
        </w:tc>
        <w:tc>
          <w:tcPr>
            <w:tcW w:type="dxa" w:w="4133"/>
            <w:shd w:fill="F4F7FA"/>
            <w:vAlign w:val="center"/>
            <w:tcMar>
              <w:top w:w="92" w:type="dxa"/>
              <w:start w:w="125" w:type="dxa"/>
              <w:bottom w:w="92" w:type="dxa"/>
              <w:end w:w="125" w:type="dxa"/>
            </w:tcMar>
          </w:tcPr>
          <w:p>
            <w:pPr>
              <w:spacing w:after="0"/>
            </w:pPr>
            <w:r>
              <w:rPr>
                <w:sz w:val="17"/>
              </w:rPr>
              <w:t>Stale Silver customer/order state</w:t>
            </w:r>
          </w:p>
        </w:tc>
      </w:tr>
      <w:tr>
        <w:trPr>
          <w:cantSplit/>
        </w:trPr>
        <w:tc>
          <w:tcPr>
            <w:tcW w:type="dxa" w:w="1714"/>
            <w:vAlign w:val="center"/>
            <w:tcMar>
              <w:top w:w="92" w:type="dxa"/>
              <w:start w:w="125" w:type="dxa"/>
              <w:bottom w:w="92" w:type="dxa"/>
              <w:end w:w="125" w:type="dxa"/>
            </w:tcMar>
          </w:tcPr>
          <w:p>
            <w:pPr>
              <w:spacing w:after="0"/>
            </w:pPr>
            <w:r>
              <w:rPr>
                <w:sz w:val="17"/>
              </w:rPr>
              <w:t>Performance</w:t>
            </w:r>
          </w:p>
        </w:tc>
        <w:tc>
          <w:tcPr>
            <w:tcW w:type="dxa" w:w="4075"/>
            <w:vAlign w:val="center"/>
            <w:tcMar>
              <w:top w:w="92" w:type="dxa"/>
              <w:start w:w="125" w:type="dxa"/>
              <w:bottom w:w="92" w:type="dxa"/>
              <w:end w:w="125" w:type="dxa"/>
            </w:tcMar>
          </w:tcPr>
          <w:p>
            <w:pPr>
              <w:spacing w:after="0"/>
            </w:pPr>
            <w:r>
              <w:rPr>
                <w:sz w:val="17"/>
              </w:rPr>
              <w:t>Right compute; files, stats, clustering when justified</w:t>
            </w:r>
          </w:p>
        </w:tc>
        <w:tc>
          <w:tcPr>
            <w:tcW w:type="dxa" w:w="4133"/>
            <w:vAlign w:val="center"/>
            <w:tcMar>
              <w:top w:w="92" w:type="dxa"/>
              <w:start w:w="125" w:type="dxa"/>
              <w:bottom w:w="92" w:type="dxa"/>
              <w:end w:w="125" w:type="dxa"/>
            </w:tcMar>
          </w:tcPr>
          <w:p>
            <w:pPr>
              <w:spacing w:after="0"/>
            </w:pPr>
            <w:r>
              <w:rPr>
                <w:sz w:val="17"/>
              </w:rPr>
              <w:t>Unnecessary small files or scans</w:t>
            </w:r>
          </w:p>
        </w:tc>
      </w:tr>
      <w:tr>
        <w:trPr>
          <w:cantSplit/>
        </w:trPr>
        <w:tc>
          <w:tcPr>
            <w:tcW w:type="dxa" w:w="1714"/>
            <w:shd w:fill="F4F7FA"/>
            <w:vAlign w:val="center"/>
            <w:tcMar>
              <w:top w:w="92" w:type="dxa"/>
              <w:start w:w="125" w:type="dxa"/>
              <w:bottom w:w="92" w:type="dxa"/>
              <w:end w:w="125" w:type="dxa"/>
            </w:tcMar>
          </w:tcPr>
          <w:p>
            <w:pPr>
              <w:spacing w:after="0"/>
            </w:pPr>
            <w:r>
              <w:rPr>
                <w:sz w:val="17"/>
              </w:rPr>
              <w:t>Cost</w:t>
            </w:r>
          </w:p>
        </w:tc>
        <w:tc>
          <w:tcPr>
            <w:tcW w:type="dxa" w:w="4075"/>
            <w:shd w:fill="F4F7FA"/>
            <w:vAlign w:val="center"/>
            <w:tcMar>
              <w:top w:w="92" w:type="dxa"/>
              <w:start w:w="125" w:type="dxa"/>
              <w:bottom w:w="92" w:type="dxa"/>
              <w:end w:w="125" w:type="dxa"/>
            </w:tcMar>
          </w:tcPr>
          <w:p>
            <w:pPr>
              <w:spacing w:after="0"/>
            </w:pPr>
            <w:r>
              <w:rPr>
                <w:sz w:val="17"/>
              </w:rPr>
              <w:t>Triggered vs continuous; managed/serverless where fit</w:t>
            </w:r>
          </w:p>
        </w:tc>
        <w:tc>
          <w:tcPr>
            <w:tcW w:type="dxa" w:w="4133"/>
            <w:shd w:fill="F4F7FA"/>
            <w:vAlign w:val="center"/>
            <w:tcMar>
              <w:top w:w="92" w:type="dxa"/>
              <w:start w:w="125" w:type="dxa"/>
              <w:bottom w:w="92" w:type="dxa"/>
              <w:end w:w="125" w:type="dxa"/>
            </w:tcMar>
          </w:tcPr>
          <w:p>
            <w:pPr>
              <w:spacing w:after="0"/>
            </w:pPr>
            <w:r>
              <w:rPr>
                <w:sz w:val="17"/>
              </w:rPr>
              <w:t>Idle compute / constant polling</w:t>
            </w:r>
          </w:p>
        </w:tc>
      </w:tr>
      <w:tr>
        <w:trPr>
          <w:cantSplit/>
        </w:trPr>
        <w:tc>
          <w:tcPr>
            <w:tcW w:type="dxa" w:w="1714"/>
            <w:vAlign w:val="center"/>
            <w:tcMar>
              <w:top w:w="92" w:type="dxa"/>
              <w:start w:w="125" w:type="dxa"/>
              <w:bottom w:w="92" w:type="dxa"/>
              <w:end w:w="125" w:type="dxa"/>
            </w:tcMar>
          </w:tcPr>
          <w:p>
            <w:pPr>
              <w:spacing w:after="0"/>
            </w:pPr>
            <w:r>
              <w:rPr>
                <w:sz w:val="17"/>
              </w:rPr>
              <w:t>Security</w:t>
            </w:r>
          </w:p>
        </w:tc>
        <w:tc>
          <w:tcPr>
            <w:tcW w:type="dxa" w:w="4075"/>
            <w:vAlign w:val="center"/>
            <w:tcMar>
              <w:top w:w="92" w:type="dxa"/>
              <w:start w:w="125" w:type="dxa"/>
              <w:bottom w:w="92" w:type="dxa"/>
              <w:end w:w="125" w:type="dxa"/>
            </w:tcMar>
          </w:tcPr>
          <w:p>
            <w:pPr>
              <w:spacing w:after="0"/>
            </w:pPr>
            <w:r>
              <w:rPr>
                <w:sz w:val="17"/>
              </w:rPr>
              <w:t>UC grants + IAM/network/secrets</w:t>
            </w:r>
          </w:p>
        </w:tc>
        <w:tc>
          <w:tcPr>
            <w:tcW w:type="dxa" w:w="4133"/>
            <w:vAlign w:val="center"/>
            <w:tcMar>
              <w:top w:w="92" w:type="dxa"/>
              <w:start w:w="125" w:type="dxa"/>
              <w:bottom w:w="92" w:type="dxa"/>
              <w:end w:w="125" w:type="dxa"/>
            </w:tcMar>
          </w:tcPr>
          <w:p>
            <w:pPr>
              <w:spacing w:after="0"/>
            </w:pPr>
            <w:r>
              <w:rPr>
                <w:sz w:val="17"/>
              </w:rPr>
              <w:t>Broad PII access</w:t>
            </w:r>
          </w:p>
        </w:tc>
      </w:tr>
      <w:tr>
        <w:trPr>
          <w:cantSplit/>
        </w:trPr>
        <w:tc>
          <w:tcPr>
            <w:tcW w:type="dxa" w:w="1714"/>
            <w:shd w:fill="F4F7FA"/>
            <w:vAlign w:val="center"/>
            <w:tcMar>
              <w:top w:w="92" w:type="dxa"/>
              <w:start w:w="125" w:type="dxa"/>
              <w:bottom w:w="92" w:type="dxa"/>
              <w:end w:w="125" w:type="dxa"/>
            </w:tcMar>
          </w:tcPr>
          <w:p>
            <w:pPr>
              <w:spacing w:after="0"/>
            </w:pPr>
            <w:r>
              <w:rPr>
                <w:sz w:val="17"/>
              </w:rPr>
              <w:t>Observability</w:t>
            </w:r>
          </w:p>
        </w:tc>
        <w:tc>
          <w:tcPr>
            <w:tcW w:type="dxa" w:w="4075"/>
            <w:shd w:fill="F4F7FA"/>
            <w:vAlign w:val="center"/>
            <w:tcMar>
              <w:top w:w="92" w:type="dxa"/>
              <w:start w:w="125" w:type="dxa"/>
              <w:bottom w:w="92" w:type="dxa"/>
              <w:end w:w="125" w:type="dxa"/>
            </w:tcMar>
          </w:tcPr>
          <w:p>
            <w:pPr>
              <w:spacing w:after="0"/>
            </w:pPr>
            <w:r>
              <w:rPr>
                <w:sz w:val="17"/>
              </w:rPr>
              <w:t>Run logs, metrics, lineage, ownership</w:t>
            </w:r>
          </w:p>
        </w:tc>
        <w:tc>
          <w:tcPr>
            <w:tcW w:type="dxa" w:w="4133"/>
            <w:shd w:fill="F4F7FA"/>
            <w:vAlign w:val="center"/>
            <w:tcMar>
              <w:top w:w="92" w:type="dxa"/>
              <w:start w:w="125" w:type="dxa"/>
              <w:bottom w:w="92" w:type="dxa"/>
              <w:end w:w="125" w:type="dxa"/>
            </w:tcMar>
          </w:tcPr>
          <w:p>
            <w:pPr>
              <w:spacing w:after="0"/>
            </w:pPr>
            <w:r>
              <w:rPr>
                <w:sz w:val="17"/>
              </w:rPr>
              <w:t>No way to explain a revenue change</w:t>
            </w:r>
          </w:p>
        </w:tc>
      </w:tr>
    </w:tbl>
    <w:p>
      <w:pPr>
        <w:spacing w:after="20"/>
        <w:widowControl/>
      </w:pPr>
    </w:p>
    <w:p>
      <w:pPr>
        <w:pStyle w:val="Heading2"/>
        <w:widowControl/>
      </w:pPr>
      <w:r>
        <w:t>Where does optimization belong?</w:t>
      </w:r>
    </w:p>
    <w:p>
      <w:pPr>
        <w:widowControl/>
      </w:pPr>
      <w:r>
        <w:t>Optimize based on access pattern, not layer name. Bronze often favors ingestion throughput and retention; Silver may need clustering or rewrite strategies for expensive CDC joins; Gold often needs efficient selective queries and aggregates. Liquid clustering / predictive optimization applicability depends on table type, runtime and managed-table features. Validate performance with real query profiles before adding physical layout controls.</w:t>
      </w:r>
    </w:p>
    <w:p>
      <w:pPr>
        <w:pStyle w:val="Heading2"/>
        <w:widowControl/>
      </w:pPr>
      <w:r>
        <w:t>Two useful end-to-end checks</w:t>
      </w:r>
    </w:p>
    <w:p>
      <w:pPr>
        <w:pStyle w:val="ListBullet"/>
        <w:widowControl/>
      </w:pPr>
      <w:r>
        <w:t>Completeness: source count/change watermark → Bronze events → Silver valid/quarantined → Gold published counts. Document intentional exclusions.</w:t>
      </w:r>
    </w:p>
    <w:p>
      <w:pPr>
        <w:pStyle w:val="ListBullet"/>
        <w:widowControl/>
      </w:pPr>
      <w:r>
        <w:t>Business reconciliation: payment captures − refunds in the source ledger should reconcile with the equivalent Silver measure, within allowed lateness and currency rules.</w:t>
      </w:r>
    </w:p>
    <w:p>
      <w:pPr>
        <w:pStyle w:val="Heading1"/>
        <w:widowControl/>
      </w:pPr>
      <w:r>
        <w:t>12  Interview Walkthrough: Answer Like an Architect</w:t>
      </w:r>
    </w:p>
    <w:p>
      <w:pPr>
        <w:widowControl/>
      </w:pPr>
      <w:r>
        <w:t>“We have operational orders in SQL, payment events from an API, and inventory files from partners. I would start by clarifying SLAs, CDC availability, source grain, audit/PII constraints and target business metrics. Then I would choose source-appropriate ingestion, preserve source fidelity in Bronze, maintain validated entities in Silver, model consumer-specific Gold datasets, expose SQL/BI and ML consumers, apply Unity Catalog governance, and run the workload with monitored jobs and version-controlled deployments.”</w:t>
      </w:r>
    </w:p>
    <w:p>
      <w:pPr>
        <w:pStyle w:val="Heading2"/>
        <w:widowControl/>
      </w:pPr>
      <w:r>
        <w:t>Questions the interviewer may ask</w:t>
      </w:r>
    </w:p>
    <w:tbl>
      <w:tblPr>
        <w:tblStyle w:val="TableGrid"/>
        <w:tblW w:type="auto" w:w="0"/>
        <w:jc w:val="center"/>
        <w:tblLayout w:type="fixed"/>
        <w:tblLook w:firstColumn="1" w:firstRow="1" w:lastColumn="0" w:lastRow="0" w:noHBand="0" w:noVBand="1" w:val="04A0"/>
      </w:tblPr>
      <w:tblGrid>
        <w:gridCol w:w="3139"/>
        <w:gridCol w:w="6782"/>
      </w:tblGrid>
      <w:tr>
        <w:trPr>
          <w:cantSplit/>
        </w:trPr>
        <w:tc>
          <w:tcPr>
            <w:tcW w:type="dxa" w:w="4968"/>
            <w:shd w:fill="1F3448"/>
            <w:vAlign w:val="center"/>
            <w:tcMar>
              <w:top w:w="92" w:type="dxa"/>
              <w:start w:w="125" w:type="dxa"/>
              <w:bottom w:w="92" w:type="dxa"/>
              <w:end w:w="125" w:type="dxa"/>
            </w:tcMar>
          </w:tcPr>
          <w:p>
            <w:r>
              <w:rPr>
                <w:b/>
                <w:color w:val="FFFFFF"/>
                <w:sz w:val="18"/>
              </w:rPr>
              <w:t>Question</w:t>
            </w:r>
          </w:p>
        </w:tc>
        <w:tc>
          <w:tcPr>
            <w:tcW w:type="dxa" w:w="4968"/>
            <w:shd w:fill="1F3448"/>
            <w:vAlign w:val="center"/>
            <w:tcMar>
              <w:top w:w="92" w:type="dxa"/>
              <w:start w:w="125" w:type="dxa"/>
              <w:bottom w:w="92" w:type="dxa"/>
              <w:end w:w="125" w:type="dxa"/>
            </w:tcMar>
          </w:tcPr>
          <w:p>
            <w:r>
              <w:rPr>
                <w:b/>
                <w:color w:val="FFFFFF"/>
                <w:sz w:val="18"/>
              </w:rPr>
              <w:t>Strong answer / trade-off</w:t>
            </w:r>
          </w:p>
        </w:tc>
      </w:tr>
      <w:tr>
        <w:trPr>
          <w:cantSplit/>
        </w:trPr>
        <w:tc>
          <w:tcPr>
            <w:tcW w:type="dxa" w:w="3139"/>
            <w:vAlign w:val="center"/>
            <w:tcMar>
              <w:top w:w="92" w:type="dxa"/>
              <w:start w:w="125" w:type="dxa"/>
              <w:bottom w:w="92" w:type="dxa"/>
              <w:end w:w="125" w:type="dxa"/>
            </w:tcMar>
          </w:tcPr>
          <w:p>
            <w:pPr>
              <w:spacing w:after="0"/>
            </w:pPr>
            <w:r>
              <w:rPr>
                <w:sz w:val="17"/>
              </w:rPr>
              <w:t>Why not write directly into Silver?</w:t>
            </w:r>
          </w:p>
        </w:tc>
        <w:tc>
          <w:tcPr>
            <w:tcW w:type="dxa" w:w="6782"/>
            <w:vAlign w:val="center"/>
            <w:tcMar>
              <w:top w:w="92" w:type="dxa"/>
              <w:start w:w="125" w:type="dxa"/>
              <w:bottom w:w="92" w:type="dxa"/>
              <w:end w:w="125" w:type="dxa"/>
            </w:tcMar>
          </w:tcPr>
          <w:p>
            <w:pPr>
              <w:spacing w:after="0"/>
            </w:pPr>
            <w:r>
              <w:rPr>
                <w:sz w:val="17"/>
              </w:rPr>
              <w:t>Source drift and quality errors can lose evidence; Bronze lets you replay and audit.</w:t>
            </w:r>
          </w:p>
        </w:tc>
      </w:tr>
      <w:tr>
        <w:trPr>
          <w:cantSplit/>
        </w:trPr>
        <w:tc>
          <w:tcPr>
            <w:tcW w:type="dxa" w:w="3139"/>
            <w:shd w:fill="F4F7FA"/>
            <w:vAlign w:val="center"/>
            <w:tcMar>
              <w:top w:w="92" w:type="dxa"/>
              <w:start w:w="125" w:type="dxa"/>
              <w:bottom w:w="92" w:type="dxa"/>
              <w:end w:w="125" w:type="dxa"/>
            </w:tcMar>
          </w:tcPr>
          <w:p>
            <w:pPr>
              <w:spacing w:after="0"/>
            </w:pPr>
            <w:r>
              <w:rPr>
                <w:sz w:val="17"/>
              </w:rPr>
              <w:t>Auto Loader vs Connect?</w:t>
            </w:r>
          </w:p>
        </w:tc>
        <w:tc>
          <w:tcPr>
            <w:tcW w:type="dxa" w:w="6782"/>
            <w:shd w:fill="F4F7FA"/>
            <w:vAlign w:val="center"/>
            <w:tcMar>
              <w:top w:w="92" w:type="dxa"/>
              <w:start w:w="125" w:type="dxa"/>
              <w:bottom w:w="92" w:type="dxa"/>
              <w:end w:w="125" w:type="dxa"/>
            </w:tcMar>
          </w:tcPr>
          <w:p>
            <w:pPr>
              <w:spacing w:after="0"/>
            </w:pPr>
            <w:r>
              <w:rPr>
                <w:sz w:val="17"/>
              </w:rPr>
              <w:t>Files in object storage vs managed/source-specific apps and databases.</w:t>
            </w:r>
          </w:p>
        </w:tc>
      </w:tr>
      <w:tr>
        <w:trPr>
          <w:cantSplit/>
        </w:trPr>
        <w:tc>
          <w:tcPr>
            <w:tcW w:type="dxa" w:w="3139"/>
            <w:vAlign w:val="center"/>
            <w:tcMar>
              <w:top w:w="92" w:type="dxa"/>
              <w:start w:w="125" w:type="dxa"/>
              <w:bottom w:w="92" w:type="dxa"/>
              <w:end w:w="125" w:type="dxa"/>
            </w:tcMar>
          </w:tcPr>
          <w:p>
            <w:pPr>
              <w:spacing w:after="0"/>
            </w:pPr>
            <w:r>
              <w:rPr>
                <w:sz w:val="17"/>
              </w:rPr>
              <w:t>Is Bronze always append-only?</w:t>
            </w:r>
          </w:p>
        </w:tc>
        <w:tc>
          <w:tcPr>
            <w:tcW w:type="dxa" w:w="6782"/>
            <w:vAlign w:val="center"/>
            <w:tcMar>
              <w:top w:w="92" w:type="dxa"/>
              <w:start w:w="125" w:type="dxa"/>
              <w:bottom w:w="92" w:type="dxa"/>
              <w:end w:w="125" w:type="dxa"/>
            </w:tcMar>
          </w:tcPr>
          <w:p>
            <w:pPr>
              <w:spacing w:after="0"/>
            </w:pPr>
            <w:r>
              <w:rPr>
                <w:sz w:val="17"/>
              </w:rPr>
              <w:t>Typically append-oriented; managed current-state snapshots also exist. Define retained history.</w:t>
            </w:r>
          </w:p>
        </w:tc>
      </w:tr>
      <w:tr>
        <w:trPr>
          <w:cantSplit/>
        </w:trPr>
        <w:tc>
          <w:tcPr>
            <w:tcW w:type="dxa" w:w="3139"/>
            <w:shd w:fill="F4F7FA"/>
            <w:vAlign w:val="center"/>
            <w:tcMar>
              <w:top w:w="92" w:type="dxa"/>
              <w:start w:w="125" w:type="dxa"/>
              <w:bottom w:w="92" w:type="dxa"/>
              <w:end w:w="125" w:type="dxa"/>
            </w:tcMar>
          </w:tcPr>
          <w:p>
            <w:pPr>
              <w:spacing w:after="0"/>
            </w:pPr>
            <w:r>
              <w:rPr>
                <w:sz w:val="17"/>
              </w:rPr>
              <w:t>How do you process changed orders?</w:t>
            </w:r>
          </w:p>
        </w:tc>
        <w:tc>
          <w:tcPr>
            <w:tcW w:type="dxa" w:w="6782"/>
            <w:shd w:fill="F4F7FA"/>
            <w:vAlign w:val="center"/>
            <w:tcMar>
              <w:top w:w="92" w:type="dxa"/>
              <w:start w:w="125" w:type="dxa"/>
              <w:bottom w:w="92" w:type="dxa"/>
              <w:end w:w="125" w:type="dxa"/>
            </w:tcMar>
          </w:tcPr>
          <w:p>
            <w:pPr>
              <w:spacing w:after="0"/>
            </w:pPr>
            <w:r>
              <w:rPr>
                <w:sz w:val="17"/>
              </w:rPr>
              <w:t>CDC with ordered changes, reliable keys, deletes and documented SCD semantics.</w:t>
            </w:r>
          </w:p>
        </w:tc>
      </w:tr>
      <w:tr>
        <w:trPr>
          <w:cantSplit/>
        </w:trPr>
        <w:tc>
          <w:tcPr>
            <w:tcW w:type="dxa" w:w="3139"/>
            <w:vAlign w:val="center"/>
            <w:tcMar>
              <w:top w:w="92" w:type="dxa"/>
              <w:start w:w="125" w:type="dxa"/>
              <w:bottom w:w="92" w:type="dxa"/>
              <w:end w:w="125" w:type="dxa"/>
            </w:tcMar>
          </w:tcPr>
          <w:p>
            <w:pPr>
              <w:spacing w:after="0"/>
            </w:pPr>
            <w:r>
              <w:rPr>
                <w:sz w:val="17"/>
              </w:rPr>
              <w:t>What if the same file arrives twice?</w:t>
            </w:r>
          </w:p>
        </w:tc>
        <w:tc>
          <w:tcPr>
            <w:tcW w:type="dxa" w:w="6782"/>
            <w:vAlign w:val="center"/>
            <w:tcMar>
              <w:top w:w="92" w:type="dxa"/>
              <w:start w:w="125" w:type="dxa"/>
              <w:bottom w:w="92" w:type="dxa"/>
              <w:end w:w="125" w:type="dxa"/>
            </w:tcMar>
          </w:tcPr>
          <w:p>
            <w:pPr>
              <w:spacing w:after="0"/>
            </w:pPr>
            <w:r>
              <w:rPr>
                <w:sz w:val="17"/>
              </w:rPr>
              <w:t>Checkpoint/file tracking plus independent record-key dedup and write idempotency.</w:t>
            </w:r>
          </w:p>
        </w:tc>
      </w:tr>
      <w:tr>
        <w:trPr>
          <w:cantSplit/>
        </w:trPr>
        <w:tc>
          <w:tcPr>
            <w:tcW w:type="dxa" w:w="3139"/>
            <w:shd w:fill="F4F7FA"/>
            <w:vAlign w:val="center"/>
            <w:tcMar>
              <w:top w:w="92" w:type="dxa"/>
              <w:start w:w="125" w:type="dxa"/>
              <w:bottom w:w="92" w:type="dxa"/>
              <w:end w:w="125" w:type="dxa"/>
            </w:tcMar>
          </w:tcPr>
          <w:p>
            <w:pPr>
              <w:spacing w:after="0"/>
            </w:pPr>
            <w:r>
              <w:rPr>
                <w:sz w:val="17"/>
              </w:rPr>
              <w:t>Does every Gold table need facts/dims?</w:t>
            </w:r>
          </w:p>
        </w:tc>
        <w:tc>
          <w:tcPr>
            <w:tcW w:type="dxa" w:w="6782"/>
            <w:shd w:fill="F4F7FA"/>
            <w:vAlign w:val="center"/>
            <w:tcMar>
              <w:top w:w="92" w:type="dxa"/>
              <w:start w:w="125" w:type="dxa"/>
              <w:bottom w:w="92" w:type="dxa"/>
              <w:end w:w="125" w:type="dxa"/>
            </w:tcMar>
          </w:tcPr>
          <w:p>
            <w:pPr>
              <w:spacing w:after="0"/>
            </w:pPr>
            <w:r>
              <w:rPr>
                <w:sz w:val="17"/>
              </w:rPr>
              <w:t>No. Use grain and consumer needs: BI star schema, aggregate, wide serving table or ML feature.</w:t>
            </w:r>
          </w:p>
        </w:tc>
      </w:tr>
      <w:tr>
        <w:trPr>
          <w:cantSplit/>
        </w:trPr>
        <w:tc>
          <w:tcPr>
            <w:tcW w:type="dxa" w:w="3139"/>
            <w:vAlign w:val="center"/>
            <w:tcMar>
              <w:top w:w="92" w:type="dxa"/>
              <w:start w:w="125" w:type="dxa"/>
              <w:bottom w:w="92" w:type="dxa"/>
              <w:end w:w="125" w:type="dxa"/>
            </w:tcMar>
          </w:tcPr>
          <w:p>
            <w:pPr>
              <w:spacing w:after="0"/>
            </w:pPr>
            <w:r>
              <w:rPr>
                <w:sz w:val="17"/>
              </w:rPr>
              <w:t>Who serves an ML model?</w:t>
            </w:r>
          </w:p>
        </w:tc>
        <w:tc>
          <w:tcPr>
            <w:tcW w:type="dxa" w:w="6782"/>
            <w:vAlign w:val="center"/>
            <w:tcMar>
              <w:top w:w="92" w:type="dxa"/>
              <w:start w:w="125" w:type="dxa"/>
              <w:bottom w:w="92" w:type="dxa"/>
              <w:end w:w="125" w:type="dxa"/>
            </w:tcMar>
          </w:tcPr>
          <w:p>
            <w:pPr>
              <w:spacing w:after="0"/>
            </w:pPr>
            <w:r>
              <w:rPr>
                <w:sz w:val="17"/>
              </w:rPr>
              <w:t>MLflow tracks and manages lifecycle; Model Serving or another runtime hosts inference.</w:t>
            </w:r>
          </w:p>
        </w:tc>
      </w:tr>
      <w:tr>
        <w:trPr>
          <w:cantSplit/>
        </w:trPr>
        <w:tc>
          <w:tcPr>
            <w:tcW w:type="dxa" w:w="3139"/>
            <w:shd w:fill="F4F7FA"/>
            <w:vAlign w:val="center"/>
            <w:tcMar>
              <w:top w:w="92" w:type="dxa"/>
              <w:start w:w="125" w:type="dxa"/>
              <w:bottom w:w="92" w:type="dxa"/>
              <w:end w:w="125" w:type="dxa"/>
            </w:tcMar>
          </w:tcPr>
          <w:p>
            <w:pPr>
              <w:spacing w:after="0"/>
            </w:pPr>
            <w:r>
              <w:rPr>
                <w:sz w:val="17"/>
              </w:rPr>
              <w:t>What if Gold is incorrect?</w:t>
            </w:r>
          </w:p>
        </w:tc>
        <w:tc>
          <w:tcPr>
            <w:tcW w:type="dxa" w:w="6782"/>
            <w:shd w:fill="F4F7FA"/>
            <w:vAlign w:val="center"/>
            <w:tcMar>
              <w:top w:w="92" w:type="dxa"/>
              <w:start w:w="125" w:type="dxa"/>
              <w:bottom w:w="92" w:type="dxa"/>
              <w:end w:w="125" w:type="dxa"/>
            </w:tcMar>
          </w:tcPr>
          <w:p>
            <w:pPr>
              <w:spacing w:after="0"/>
            </w:pPr>
            <w:r>
              <w:rPr>
                <w:sz w:val="17"/>
              </w:rPr>
              <w:t>Trace lineage; reconcile metrics; inspect Silver / Bronze; rerun controlled backfill.</w:t>
            </w:r>
          </w:p>
        </w:tc>
      </w:tr>
    </w:tbl>
    <w:p>
      <w:pPr>
        <w:spacing w:after="20"/>
        <w:widowControl/>
      </w:pPr>
    </w:p>
    <w:p>
      <w:pPr>
        <w:pStyle w:val="Heading2"/>
        <w:widowControl/>
      </w:pPr>
      <w:r>
        <w:t>Final architecture checklist</w:t>
      </w:r>
    </w:p>
    <w:p>
      <w:pPr>
        <w:pStyle w:val="ListBullet"/>
        <w:widowControl/>
      </w:pPr>
      <w:r>
        <w:t>Sources and data contracts identified; source keys, grain and change pattern documented</w:t>
      </w:r>
    </w:p>
    <w:p>
      <w:pPr>
        <w:pStyle w:val="ListBullet"/>
        <w:widowControl/>
      </w:pPr>
      <w:r>
        <w:t>Incremental ingestion + checkpoint/restart strategy selected</w:t>
      </w:r>
    </w:p>
    <w:p>
      <w:pPr>
        <w:pStyle w:val="ListBullet"/>
        <w:widowControl/>
      </w:pPr>
      <w:r>
        <w:t>Bronze raw fidelity and retention/replay policy defined</w:t>
      </w:r>
    </w:p>
    <w:p>
      <w:pPr>
        <w:pStyle w:val="ListBullet"/>
        <w:widowControl/>
      </w:pPr>
      <w:r>
        <w:t>Silver data quality, CDC, late-arrival and quarantine rules defined</w:t>
      </w:r>
    </w:p>
    <w:p>
      <w:pPr>
        <w:pStyle w:val="ListBullet"/>
        <w:widowControl/>
      </w:pPr>
      <w:r>
        <w:t>Gold metrics, grain, joins and serving contracts documented</w:t>
      </w:r>
    </w:p>
    <w:p>
      <w:pPr>
        <w:pStyle w:val="ListBullet"/>
        <w:widowControl/>
      </w:pPr>
      <w:r>
        <w:t>Dashboards and ML flows separated appropriately</w:t>
      </w:r>
    </w:p>
    <w:p>
      <w:pPr>
        <w:pStyle w:val="ListBullet"/>
        <w:widowControl/>
      </w:pPr>
      <w:r>
        <w:t>Unity Catalog privileges, lineage, storage security and audit paths established</w:t>
      </w:r>
    </w:p>
    <w:p>
      <w:pPr>
        <w:pStyle w:val="ListBullet"/>
        <w:widowControl/>
      </w:pPr>
      <w:r>
        <w:t>Jobs, alerts, tests, CI/CD and recovery / backfill playbook in place</w:t>
      </w:r>
    </w:p>
    <w:p>
      <w:pPr>
        <w:pStyle w:val="Heading1"/>
        <w:widowControl/>
      </w:pPr>
      <w:r>
        <w:t>Official Reference Reading</w:t>
      </w:r>
    </w:p>
    <w:p>
      <w:pPr>
        <w:widowControl/>
      </w:pPr>
      <w:r>
        <w:t>All links below are official Databricks documentation. Product capabilities can vary by cloud, region and release status; check connector support and service availability for your environment.</w:t>
      </w:r>
    </w:p>
    <w:tbl>
      <w:tblPr>
        <w:tblW w:type="auto" w:w="0"/>
        <w:tblLayout w:type="fixed"/>
        <w:tblLook w:firstColumn="1" w:firstRow="1" w:lastColumn="0" w:lastRow="0" w:noHBand="0" w:noVBand="1" w:val="04A0"/>
      </w:tblPr>
      <w:tblGrid>
        <w:gridCol w:w="4925"/>
        <w:gridCol w:w="4925"/>
      </w:tblGrid>
      <w:tr>
        <w:trPr>
          <w:cantSplit/>
        </w:trPr>
        <w:tc>
          <w:tcPr>
            <w:tcW w:type="dxa" w:w="4968"/>
            <w:tcMar>
              <w:top w:w="65" w:type="dxa"/>
              <w:start w:w="80" w:type="dxa"/>
              <w:bottom w:w="65" w:type="dxa"/>
              <w:end w:w="75" w:type="dxa"/>
            </w:tcMar>
            <w:vAlign w:val="center"/>
            <w:tcMar>
              <w:top w:w="92" w:type="dxa"/>
              <w:start w:w="125" w:type="dxa"/>
              <w:bottom w:w="92" w:type="dxa"/>
              <w:end w:w="125" w:type="dxa"/>
            </w:tcMar>
          </w:tcPr>
          <w:p>
            <w:pPr>
              <w:spacing w:after="0"/>
            </w:pPr>
            <w:hyperlink r:id="rId13">
              <w:r>
                <w:rPr>
                  <w:color w:val="2365A0"/>
                  <w:sz w:val="16"/>
                </w:rPr>
                <w:t>1. Databricks reference architectures</w:t>
              </w:r>
            </w:hyperlink>
          </w:p>
        </w:tc>
        <w:tc>
          <w:tcPr>
            <w:tcW w:type="dxa" w:w="4968"/>
            <w:tcMar>
              <w:top w:w="65" w:type="dxa"/>
              <w:start w:w="80" w:type="dxa"/>
              <w:bottom w:w="65" w:type="dxa"/>
              <w:end w:w="75" w:type="dxa"/>
            </w:tcMar>
            <w:vAlign w:val="center"/>
            <w:tcMar>
              <w:top w:w="92" w:type="dxa"/>
              <w:start w:w="125" w:type="dxa"/>
              <w:bottom w:w="92" w:type="dxa"/>
              <w:end w:w="125" w:type="dxa"/>
            </w:tcMar>
          </w:tcPr>
          <w:p>
            <w:pPr>
              <w:spacing w:after="0"/>
            </w:pPr>
            <w:hyperlink r:id="rId20">
              <w:r>
                <w:rPr>
                  <w:color w:val="2365A0"/>
                  <w:sz w:val="16"/>
                </w:rPr>
                <w:t>8. Data quality expectations</w:t>
              </w:r>
            </w:hyperlink>
          </w:p>
        </w:tc>
      </w:tr>
      <w:tr>
        <w:trPr>
          <w:cantSplit/>
        </w:trPr>
        <w:tc>
          <w:tcPr>
            <w:tcW w:type="dxa" w:w="4968"/>
            <w:tcMar>
              <w:top w:w="65" w:type="dxa"/>
              <w:start w:w="80" w:type="dxa"/>
              <w:bottom w:w="65" w:type="dxa"/>
              <w:end w:w="75" w:type="dxa"/>
            </w:tcMar>
            <w:vAlign w:val="center"/>
            <w:tcMar>
              <w:top w:w="92" w:type="dxa"/>
              <w:start w:w="125" w:type="dxa"/>
              <w:bottom w:w="92" w:type="dxa"/>
              <w:end w:w="125" w:type="dxa"/>
            </w:tcMar>
          </w:tcPr>
          <w:p>
            <w:pPr>
              <w:spacing w:after="0"/>
            </w:pPr>
            <w:hyperlink r:id="rId14">
              <w:r>
                <w:rPr>
                  <w:color w:val="2365A0"/>
                  <w:sz w:val="16"/>
                </w:rPr>
                <w:t>2. Medallion lakehouse architecture</w:t>
              </w:r>
            </w:hyperlink>
          </w:p>
        </w:tc>
        <w:tc>
          <w:tcPr>
            <w:tcW w:type="dxa" w:w="4968"/>
            <w:tcMar>
              <w:top w:w="65" w:type="dxa"/>
              <w:start w:w="80" w:type="dxa"/>
              <w:bottom w:w="65" w:type="dxa"/>
              <w:end w:w="75" w:type="dxa"/>
            </w:tcMar>
            <w:vAlign w:val="center"/>
            <w:tcMar>
              <w:top w:w="92" w:type="dxa"/>
              <w:start w:w="125" w:type="dxa"/>
              <w:bottom w:w="92" w:type="dxa"/>
              <w:end w:w="125" w:type="dxa"/>
            </w:tcMar>
          </w:tcPr>
          <w:p>
            <w:pPr>
              <w:spacing w:after="0"/>
            </w:pPr>
            <w:hyperlink r:id="rId21">
              <w:r>
                <w:rPr>
                  <w:color w:val="2365A0"/>
                  <w:sz w:val="16"/>
                </w:rPr>
                <w:t>9. Unity Catalog overview</w:t>
              </w:r>
            </w:hyperlink>
          </w:p>
        </w:tc>
      </w:tr>
      <w:tr>
        <w:trPr>
          <w:cantSplit/>
        </w:trPr>
        <w:tc>
          <w:tcPr>
            <w:tcW w:type="dxa" w:w="4968"/>
            <w:tcMar>
              <w:top w:w="65" w:type="dxa"/>
              <w:start w:w="80" w:type="dxa"/>
              <w:bottom w:w="65" w:type="dxa"/>
              <w:end w:w="75" w:type="dxa"/>
            </w:tcMar>
            <w:vAlign w:val="center"/>
            <w:tcMar>
              <w:top w:w="92" w:type="dxa"/>
              <w:start w:w="125" w:type="dxa"/>
              <w:bottom w:w="92" w:type="dxa"/>
              <w:end w:w="125" w:type="dxa"/>
            </w:tcMar>
          </w:tcPr>
          <w:p>
            <w:pPr>
              <w:spacing w:after="0"/>
            </w:pPr>
            <w:hyperlink r:id="rId15">
              <w:r>
                <w:rPr>
                  <w:color w:val="2365A0"/>
                  <w:sz w:val="16"/>
                </w:rPr>
                <w:t>3. Lakeflow Connect concepts</w:t>
              </w:r>
            </w:hyperlink>
          </w:p>
        </w:tc>
        <w:tc>
          <w:tcPr>
            <w:tcW w:type="dxa" w:w="4968"/>
            <w:tcMar>
              <w:top w:w="65" w:type="dxa"/>
              <w:start w:w="80" w:type="dxa"/>
              <w:bottom w:w="65" w:type="dxa"/>
              <w:end w:w="75" w:type="dxa"/>
            </w:tcMar>
            <w:vAlign w:val="center"/>
            <w:tcMar>
              <w:top w:w="92" w:type="dxa"/>
              <w:start w:w="125" w:type="dxa"/>
              <w:bottom w:w="92" w:type="dxa"/>
              <w:end w:w="125" w:type="dxa"/>
            </w:tcMar>
          </w:tcPr>
          <w:p>
            <w:pPr>
              <w:spacing w:after="0"/>
            </w:pPr>
            <w:hyperlink r:id="rId22">
              <w:r>
                <w:rPr>
                  <w:color w:val="2365A0"/>
                  <w:sz w:val="16"/>
                </w:rPr>
                <w:t>10. Unity Catalog data lineage</w:t>
              </w:r>
            </w:hyperlink>
          </w:p>
        </w:tc>
      </w:tr>
      <w:tr>
        <w:trPr>
          <w:cantSplit/>
        </w:trPr>
        <w:tc>
          <w:tcPr>
            <w:tcW w:type="dxa" w:w="4968"/>
            <w:tcMar>
              <w:top w:w="65" w:type="dxa"/>
              <w:start w:w="80" w:type="dxa"/>
              <w:bottom w:w="65" w:type="dxa"/>
              <w:end w:w="75" w:type="dxa"/>
            </w:tcMar>
            <w:vAlign w:val="center"/>
            <w:tcMar>
              <w:top w:w="92" w:type="dxa"/>
              <w:start w:w="125" w:type="dxa"/>
              <w:bottom w:w="92" w:type="dxa"/>
              <w:end w:w="125" w:type="dxa"/>
            </w:tcMar>
          </w:tcPr>
          <w:p>
            <w:pPr>
              <w:spacing w:after="0"/>
            </w:pPr>
            <w:hyperlink r:id="rId16">
              <w:r>
                <w:rPr>
                  <w:color w:val="2365A0"/>
                  <w:sz w:val="16"/>
                </w:rPr>
                <w:t>4. Auto Loader schema inference and evolution</w:t>
              </w:r>
            </w:hyperlink>
          </w:p>
        </w:tc>
        <w:tc>
          <w:tcPr>
            <w:tcW w:type="dxa" w:w="4968"/>
            <w:tcMar>
              <w:top w:w="65" w:type="dxa"/>
              <w:start w:w="80" w:type="dxa"/>
              <w:bottom w:w="65" w:type="dxa"/>
              <w:end w:w="75" w:type="dxa"/>
            </w:tcMar>
            <w:vAlign w:val="center"/>
            <w:tcMar>
              <w:top w:w="92" w:type="dxa"/>
              <w:start w:w="125" w:type="dxa"/>
              <w:bottom w:w="92" w:type="dxa"/>
              <w:end w:w="125" w:type="dxa"/>
            </w:tcMar>
          </w:tcPr>
          <w:p>
            <w:pPr>
              <w:spacing w:after="0"/>
            </w:pPr>
            <w:hyperlink r:id="rId23">
              <w:r>
                <w:rPr>
                  <w:color w:val="2365A0"/>
                  <w:sz w:val="16"/>
                </w:rPr>
                <w:t>11. Lakeflow Jobs scheduling and triggers</w:t>
              </w:r>
            </w:hyperlink>
          </w:p>
        </w:tc>
      </w:tr>
      <w:tr>
        <w:trPr>
          <w:cantSplit/>
        </w:trPr>
        <w:tc>
          <w:tcPr>
            <w:tcW w:type="dxa" w:w="4968"/>
            <w:tcMar>
              <w:top w:w="65" w:type="dxa"/>
              <w:start w:w="80" w:type="dxa"/>
              <w:bottom w:w="65" w:type="dxa"/>
              <w:end w:w="75" w:type="dxa"/>
            </w:tcMar>
            <w:vAlign w:val="center"/>
            <w:tcMar>
              <w:top w:w="92" w:type="dxa"/>
              <w:start w:w="125" w:type="dxa"/>
              <w:bottom w:w="92" w:type="dxa"/>
              <w:end w:w="125" w:type="dxa"/>
            </w:tcMar>
          </w:tcPr>
          <w:p>
            <w:pPr>
              <w:spacing w:after="0"/>
            </w:pPr>
            <w:hyperlink r:id="rId17">
              <w:r>
                <w:rPr>
                  <w:color w:val="2365A0"/>
                  <w:sz w:val="16"/>
                </w:rPr>
                <w:t>5. Auto Loader FAQ / file mutation and checkpoints</w:t>
              </w:r>
            </w:hyperlink>
          </w:p>
        </w:tc>
        <w:tc>
          <w:tcPr>
            <w:tcW w:type="dxa" w:w="4968"/>
            <w:tcMar>
              <w:top w:w="65" w:type="dxa"/>
              <w:start w:w="80" w:type="dxa"/>
              <w:bottom w:w="65" w:type="dxa"/>
              <w:end w:w="75" w:type="dxa"/>
            </w:tcMar>
            <w:vAlign w:val="center"/>
            <w:tcMar>
              <w:top w:w="92" w:type="dxa"/>
              <w:start w:w="125" w:type="dxa"/>
              <w:bottom w:w="92" w:type="dxa"/>
              <w:end w:w="125" w:type="dxa"/>
            </w:tcMar>
          </w:tcPr>
          <w:p>
            <w:pPr>
              <w:spacing w:after="0"/>
            </w:pPr>
            <w:hyperlink r:id="rId24">
              <w:r>
                <w:rPr>
                  <w:color w:val="2365A0"/>
                  <w:sz w:val="16"/>
                </w:rPr>
                <w:t>12. Declarative Automation Bundles</w:t>
              </w:r>
            </w:hyperlink>
          </w:p>
        </w:tc>
      </w:tr>
      <w:tr>
        <w:trPr>
          <w:cantSplit/>
        </w:trPr>
        <w:tc>
          <w:tcPr>
            <w:tcW w:type="dxa" w:w="4968"/>
            <w:tcMar>
              <w:top w:w="65" w:type="dxa"/>
              <w:start w:w="80" w:type="dxa"/>
              <w:bottom w:w="65" w:type="dxa"/>
              <w:end w:w="75" w:type="dxa"/>
            </w:tcMar>
            <w:vAlign w:val="center"/>
            <w:tcMar>
              <w:top w:w="92" w:type="dxa"/>
              <w:start w:w="125" w:type="dxa"/>
              <w:bottom w:w="92" w:type="dxa"/>
              <w:end w:w="125" w:type="dxa"/>
            </w:tcMar>
          </w:tcPr>
          <w:p>
            <w:pPr>
              <w:spacing w:after="0"/>
            </w:pPr>
            <w:hyperlink r:id="rId18">
              <w:r>
                <w:rPr>
                  <w:color w:val="2365A0"/>
                  <w:sz w:val="16"/>
                </w:rPr>
                <w:t>6. Lakeflow pipelines concepts</w:t>
              </w:r>
            </w:hyperlink>
          </w:p>
        </w:tc>
        <w:tc>
          <w:tcPr>
            <w:tcW w:type="dxa" w:w="4968"/>
            <w:tcMar>
              <w:top w:w="65" w:type="dxa"/>
              <w:start w:w="80" w:type="dxa"/>
              <w:bottom w:w="65" w:type="dxa"/>
              <w:end w:w="75" w:type="dxa"/>
            </w:tcMar>
            <w:vAlign w:val="center"/>
            <w:tcMar>
              <w:top w:w="92" w:type="dxa"/>
              <w:start w:w="125" w:type="dxa"/>
              <w:bottom w:w="92" w:type="dxa"/>
              <w:end w:w="125" w:type="dxa"/>
            </w:tcMar>
          </w:tcPr>
          <w:p>
            <w:pPr>
              <w:spacing w:after="0"/>
            </w:pPr>
            <w:hyperlink r:id="rId25">
              <w:r>
                <w:rPr>
                  <w:color w:val="2365A0"/>
                  <w:sz w:val="16"/>
                </w:rPr>
                <w:t>13. Bundle rename FAQ</w:t>
              </w:r>
            </w:hyperlink>
          </w:p>
        </w:tc>
      </w:tr>
      <w:tr>
        <w:trPr>
          <w:cantSplit/>
        </w:trPr>
        <w:tc>
          <w:tcPr>
            <w:tcW w:type="dxa" w:w="4968"/>
            <w:tcMar>
              <w:top w:w="65" w:type="dxa"/>
              <w:start w:w="80" w:type="dxa"/>
              <w:bottom w:w="65" w:type="dxa"/>
              <w:end w:w="75" w:type="dxa"/>
            </w:tcMar>
            <w:vAlign w:val="center"/>
            <w:tcMar>
              <w:top w:w="92" w:type="dxa"/>
              <w:start w:w="125" w:type="dxa"/>
              <w:bottom w:w="92" w:type="dxa"/>
              <w:end w:w="125" w:type="dxa"/>
            </w:tcMar>
          </w:tcPr>
          <w:p>
            <w:pPr>
              <w:spacing w:after="0"/>
            </w:pPr>
            <w:hyperlink r:id="rId19">
              <w:r>
                <w:rPr>
                  <w:color w:val="2365A0"/>
                  <w:sz w:val="16"/>
                </w:rPr>
                <w:t>7. Spark Declarative Pipelines compared with Lakeflow</w:t>
              </w:r>
            </w:hyperlink>
          </w:p>
        </w:tc>
        <w:tc>
          <w:tcPr>
            <w:tcW w:type="dxa" w:w="4968"/>
            <w:tcMar>
              <w:top w:w="65" w:type="dxa"/>
              <w:start w:w="80" w:type="dxa"/>
              <w:bottom w:w="65" w:type="dxa"/>
              <w:end w:w="75" w:type="dxa"/>
            </w:tcMar>
            <w:vAlign w:val="center"/>
            <w:tcMar>
              <w:top w:w="92" w:type="dxa"/>
              <w:start w:w="125" w:type="dxa"/>
              <w:bottom w:w="92" w:type="dxa"/>
              <w:end w:w="125" w:type="dxa"/>
            </w:tcMar>
          </w:tcPr>
          <w:p>
            <w:pPr>
              <w:spacing w:after="0"/>
            </w:pPr>
            <w:hyperlink r:id="rId26">
              <w:r>
                <w:rPr>
                  <w:color w:val="2365A0"/>
                  <w:sz w:val="16"/>
                </w:rPr>
                <w:t>14. Unity Catalog model lifecycle</w:t>
              </w:r>
            </w:hyperlink>
          </w:p>
        </w:tc>
      </w:tr>
    </w:tbl>
    <w:sectPr w:rsidR="00FC693F" w:rsidRPr="0006063C" w:rsidSect="00034616">
      <w:headerReference w:type="default" r:id="rId9"/>
      <w:footerReference w:type="default" r:id="rId10"/>
      <w:pgSz w:w="12240" w:h="15840"/>
      <w:pgMar w:top="1051" w:right="1152" w:bottom="994"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888"/>
        <w:sz w:val="16"/>
      </w:rPr>
      <w:t xml:space="preserve">Day 29  •  End-to-End Databricks Architecture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jc w:val="right"/>
    </w:pPr>
    <w:r>
      <w:t>THE DATA ENGINEER LAB  |  TECHNICAL STUDY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74" w:lineRule="auto"/>
    </w:pPr>
    <w:rPr>
      <w:rFonts w:ascii="Aptos" w:hAnsi="Aptos"/>
      <w:color w:val="2634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Aptos Display" w:hAnsi="Aptos Display"/>
      <w:b/>
      <w:bCs/>
      <w:color w:val="16243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87F82"/>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624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624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9677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line="257" w:lineRule="auto"/>
    </w:pPr>
    <w:rPr>
      <w:rFonts w:ascii="DejaVu Sans Mono" w:hAnsi="DejaVu Sans Mono"/>
      <w:color w:val="26384C"/>
      <w:sz w:val="16"/>
    </w:rPr>
  </w:style>
  <w:style w:type="paragraph" w:customStyle="1" w:styleId="SmallLabel">
    <w:name w:val="SmallLabel"/>
    <w:rPr>
      <w:b/>
      <w:color w:val="287D82"/>
      <w:sz w:val="17"/>
    </w:rPr>
  </w:style>
  <w:style w:type="paragraph" w:customStyle="1" w:styleId="Takeaway">
    <w:name w:val="Takeaway"/>
    <w:rPr>
      <w:b/>
      <w:color w:val="1A43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s.databricks.com/aws/en/lakehouse-architecture/reference" TargetMode="External"/><Relationship Id="rId14" Type="http://schemas.openxmlformats.org/officeDocument/2006/relationships/hyperlink" Target="https://docs.databricks.com/aws/en/lakehouse/medallion" TargetMode="External"/><Relationship Id="rId15" Type="http://schemas.openxmlformats.org/officeDocument/2006/relationships/hyperlink" Target="https://docs.databricks.com/aws/en/ingestion/lakeflow-connect/" TargetMode="External"/><Relationship Id="rId16" Type="http://schemas.openxmlformats.org/officeDocument/2006/relationships/hyperlink" Target="https://docs.databricks.com/aws/en/ingestion/cloud-object-storage/auto-loader/schema" TargetMode="External"/><Relationship Id="rId17" Type="http://schemas.openxmlformats.org/officeDocument/2006/relationships/hyperlink" Target="https://docs.databricks.com/aws/en/ingestion/cloud-object-storage/auto-loader/faq" TargetMode="External"/><Relationship Id="rId18" Type="http://schemas.openxmlformats.org/officeDocument/2006/relationships/hyperlink" Target="https://docs.databricks.com/aws/en/ldp/concepts" TargetMode="External"/><Relationship Id="rId19" Type="http://schemas.openxmlformats.org/officeDocument/2006/relationships/hyperlink" Target="https://docs.databricks.com/aws/en/ldp/concepts/spark-declarative-pipelines" TargetMode="External"/><Relationship Id="rId20" Type="http://schemas.openxmlformats.org/officeDocument/2006/relationships/hyperlink" Target="https://docs.databricks.com/aws/en/ldp/expectations" TargetMode="External"/><Relationship Id="rId21" Type="http://schemas.openxmlformats.org/officeDocument/2006/relationships/hyperlink" Target="https://docs.databricks.com/aws/en/data-governance/unity-catalog/get-started" TargetMode="External"/><Relationship Id="rId22" Type="http://schemas.openxmlformats.org/officeDocument/2006/relationships/hyperlink" Target="https://docs.databricks.com/aws/en/data-governance/unity-catalog/data-lineage" TargetMode="External"/><Relationship Id="rId23" Type="http://schemas.openxmlformats.org/officeDocument/2006/relationships/hyperlink" Target="https://docs.databricks.com/aws/en/jobs/triggers" TargetMode="External"/><Relationship Id="rId24" Type="http://schemas.openxmlformats.org/officeDocument/2006/relationships/hyperlink" Target="https://docs.databricks.com/aws/en/dev-tools/bundles/" TargetMode="External"/><Relationship Id="rId25" Type="http://schemas.openxmlformats.org/officeDocument/2006/relationships/hyperlink" Target="https://docs.databricks.com/aws/en/dev-tools/bundles/faqs" TargetMode="External"/><Relationship Id="rId26" Type="http://schemas.openxmlformats.org/officeDocument/2006/relationships/hyperlink" Target="https://docs.databricks.com/aws/en/machine-learning/manage-model-life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29 | End-to-End Databricks Architecture - Study Notes</dc:title>
  <dc:subject>Data engineering study notes: ingestion, Delta, Bronze, Silver, Gold, governance, jobs and CI/CD</dc:subject>
  <dc:creator>The Data Engineer Lab</dc:creator>
  <cp:keywords>Databricks; architecture; lakehouse; Unity Catalog; Lakeflow; Delta; study notes</cp:keywords>
  <dc:description>generated by python-docx</dc:description>
  <cp:lastModifiedBy/>
  <cp:revision>1</cp:revision>
  <dcterms:created xsi:type="dcterms:W3CDTF">2013-12-23T23:15:00Z</dcterms:created>
  <dcterms:modified xsi:type="dcterms:W3CDTF">2013-12-23T23:15:00Z</dcterms:modified>
  <cp:category/>
</cp:coreProperties>
</file>