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mNGS 发补实验排布工具（芯片表/文库表生成）需求开发说明书 V1</w:t>
      </w:r>
    </w:p>
    <w:p>
      <w:r>
        <w:t>版本：V1_20260116</w:t>
        <w:br/>
      </w:r>
      <w:r>
        <w:t>部署环境：公司内网；浏览器：Chrome；系统：macOS/Windows。</w:t>
      </w:r>
    </w:p>
    <w:p>
      <w:pPr>
        <w:pStyle w:val="Heading1"/>
      </w:pPr>
      <w:r>
        <w:t>1. 背景与目标</w:t>
      </w:r>
    </w:p>
    <w:p>
      <w:r>
        <w:t>在 mNGS 发补研究中，精密度、稳定性、分析性能等研究设计高度耦合，整体规模可达 700+ 张芯片与数千张文库。若前期上机排布、Run/机台/接头分配不严谨，后期修正成本极高。本工具用于将研究者输入的自由度（样本、研究计划、机台、上机时间、接头起点等）自动转化为可执行的芯片表与文库表，并持久化结果与接头使用进度，支撑下一次研究自动续接。</w:t>
      </w:r>
    </w:p>
    <w:p>
      <w:pPr>
        <w:pStyle w:val="Heading1"/>
      </w:pPr>
      <w:r>
        <w:t>2. 范围（V1 交付）</w:t>
      </w:r>
    </w:p>
    <w:p>
      <w:r>
        <w:t>V1 必须实现：</w:t>
      </w:r>
    </w:p>
    <w:p>
      <w:pPr>
        <w:pStyle w:val="ListBullet"/>
      </w:pPr>
      <w:r>
        <w:t>解析 Input table（xlsx/csv，本地上传），得到研究元信息与“样本-关注物种”清单；</w:t>
      </w:r>
    </w:p>
    <w:p>
      <w:pPr>
        <w:pStyle w:val="ListBullet"/>
      </w:pPr>
      <w:r>
        <w:t>根据规则自动生成“芯片表”（按芯片表模板字段）；</w:t>
      </w:r>
    </w:p>
    <w:p>
      <w:pPr>
        <w:pStyle w:val="ListBullet"/>
      </w:pPr>
      <w:r>
        <w:t>用户确认芯片表后，自动生成“文库表”（按文库表模板字段，按物种展开 PC/NC）；</w:t>
      </w:r>
    </w:p>
    <w:p>
      <w:pPr>
        <w:pStyle w:val="ListBullet"/>
      </w:pPr>
      <w:r>
        <w:t>导出 Excel（固定模板），文件名自动带时间戳与输入文件名；</w:t>
      </w:r>
    </w:p>
    <w:p>
      <w:pPr>
        <w:pStyle w:val="ListBullet"/>
      </w:pPr>
      <w:r>
        <w:t>保存处理结果（不保存原始上传文件），并更新“接头库存状态”（批次+盒号+下次起点）；</w:t>
      </w:r>
    </w:p>
    <w:p>
      <w:pPr>
        <w:pStyle w:val="ListBullet"/>
      </w:pPr>
      <w:r>
        <w:t>单页工作台（左输入/右输出），支持预览、基础校验、提示冲突。</w:t>
      </w:r>
    </w:p>
    <w:p>
      <w:pPr>
        <w:pStyle w:val="Heading1"/>
      </w:pPr>
      <w:r>
        <w:t>3. 非目标（V1 不做）</w:t>
      </w:r>
    </w:p>
    <w:p>
      <w:pPr>
        <w:pStyle w:val="ListBullet"/>
      </w:pPr>
      <w:r>
        <w:t>不做账号体系/权限体系；</w:t>
      </w:r>
    </w:p>
    <w:p>
      <w:pPr>
        <w:pStyle w:val="ListBullet"/>
      </w:pPr>
      <w:r>
        <w:t>不做复杂的随机化/分层随机/孔位固定排布（V2）；</w:t>
      </w:r>
    </w:p>
    <w:p>
      <w:pPr>
        <w:pStyle w:val="ListBullet"/>
      </w:pPr>
      <w:r>
        <w:t>不做复杂资源排程（提取/建库/测浓度甘特图等）；</w:t>
      </w:r>
    </w:p>
    <w:p>
      <w:pPr>
        <w:pStyle w:val="ListBullet"/>
      </w:pPr>
      <w:r>
        <w:t>不做多研究并发冲突锁（小团队可通过“项目目录/研究编号”规避）。</w:t>
      </w:r>
    </w:p>
    <w:p>
      <w:pPr>
        <w:pStyle w:val="Heading1"/>
      </w:pPr>
      <w:r>
        <w:t>4. 输入与附件（以本次模板为准）</w:t>
      </w:r>
    </w:p>
    <w:p>
      <w:r>
        <w:t>必需文件：</w:t>
      </w:r>
    </w:p>
    <w:p>
      <w:pPr>
        <w:pStyle w:val="ListBullet"/>
      </w:pPr>
      <w:r>
        <w:t>Input table.xlsx</w:t>
      </w:r>
    </w:p>
    <w:p>
      <w:pPr>
        <w:pStyle w:val="ListBullet"/>
      </w:pPr>
      <w:r>
        <w:t>芯片表模版.xlsx</w:t>
      </w:r>
    </w:p>
    <w:p>
      <w:pPr>
        <w:pStyle w:val="ListBullet"/>
      </w:pPr>
      <w:r>
        <w:t>文库表模版.xlsx</w:t>
      </w:r>
    </w:p>
    <w:p>
      <w:pPr>
        <w:pStyle w:val="ListBullet"/>
      </w:pPr>
      <w:r>
        <w:t>规则.xlsx</w:t>
      </w:r>
    </w:p>
    <w:p>
      <w:pPr>
        <w:pStyle w:val="ListBullet"/>
      </w:pPr>
      <w:r>
        <w:t>测序仪对应关系.xlsx</w:t>
      </w:r>
    </w:p>
    <w:p>
      <w:pPr>
        <w:pStyle w:val="ListBullet"/>
      </w:pPr>
      <w:r>
        <w:t>物种列表.xlsx</w:t>
      </w:r>
    </w:p>
    <w:p>
      <w:pPr>
        <w:pStyle w:val="ListBullet"/>
      </w:pPr>
      <w:r>
        <w:t>PC.xlsx</w:t>
      </w:r>
    </w:p>
    <w:p>
      <w:pPr>
        <w:pStyle w:val="ListBullet"/>
      </w:pPr>
      <w:r>
        <w:t>NC.xlsx</w:t>
      </w:r>
    </w:p>
    <w:p>
      <w:pPr>
        <w:pStyle w:val="Heading1"/>
      </w:pPr>
      <w:r>
        <w:t>5. 输出定义</w:t>
      </w:r>
    </w:p>
    <w:p>
      <w:r>
        <w:t>输出 1：芯片表（Sheet=芯片表），字段：实验项目、测序日期、测序仪SN、Run数、芯片SN、测序仪型号、试验结果、备注2。</w:t>
      </w:r>
    </w:p>
    <w:p>
      <w:r>
        <w:t>输出 2：文库表（Sheet=文库表），字段同模板：芯片、芯片数据量、上机时间、上机时间.1、分析时间、样本名称、文库编号、index、…、物种名称、分类、taxid、…、标准、参照背景。</w:t>
      </w:r>
    </w:p>
    <w:p>
      <w:pPr>
        <w:pStyle w:val="Heading1"/>
      </w:pPr>
      <w:r>
        <w:t>6. 核心业务规则（必须严格一致）</w:t>
      </w:r>
    </w:p>
    <w:p>
      <w:r>
        <w:t>6.1 实验项目字段拼接：</w:t>
      </w:r>
    </w:p>
    <w:p>
      <w:pPr>
        <w:pStyle w:val="ListBullet"/>
      </w:pPr>
      <w:r>
        <w:t>实验项目 = 研究编号-研究列表-研究说明</w:t>
      </w:r>
    </w:p>
    <w:p>
      <w:r>
        <w:t>6.2 芯片SN 规则：</w:t>
      </w:r>
    </w:p>
    <w:p>
      <w:pPr>
        <w:pStyle w:val="ListBullet"/>
      </w:pPr>
      <w:r>
        <w:t>芯片SN = 测序日期(YYMMDD)_测序仪SN_Run数(4位补零)_AXXXXXXXXX</w:t>
      </w:r>
    </w:p>
    <w:p>
      <w:r>
        <w:t>6.3 文库编号规则：</w:t>
      </w:r>
    </w:p>
    <w:p>
      <w:pPr>
        <w:pStyle w:val="ListBullet"/>
      </w:pPr>
      <w:r>
        <w:t>文库编号 = 样本名称-测序仪SN数字后三位-index-日期(YYYYMMDD)</w:t>
      </w:r>
    </w:p>
    <w:p>
      <w:r>
        <w:t>6.4 样本名规范化（与模板示例保持一致）：</w:t>
      </w:r>
    </w:p>
    <w:p>
      <w:pPr>
        <w:pStyle w:val="ListBullet"/>
      </w:pPr>
      <w:r>
        <w:t>Input: F-0020-01 -&gt; Output: F-F0020-01（规则：前缀字母 + “-” + 前缀字母+研究编号 + “-” + 两位序号）</w:t>
      </w:r>
    </w:p>
    <w:p>
      <w:pPr>
        <w:pStyle w:val="ListBullet"/>
      </w:pPr>
      <w:r>
        <w:t>PC/NC 样本名建议：F-F0020-PC / F-F0020-NC（可在配置中修改）。</w:t>
      </w:r>
    </w:p>
    <w:p>
      <w:r>
        <w:t>6.5 Run 数递增：</w:t>
      </w:r>
    </w:p>
    <w:p>
      <w:pPr>
        <w:pStyle w:val="ListBullet"/>
      </w:pPr>
      <w:r>
        <w:t>每台测序仪需输入起始 Run；默认递增步长=1。为兼容历史/模板示例，V1 增加“Run步长”可编辑项（默认：NDX*=2，其余=1）。</w:t>
      </w:r>
    </w:p>
    <w:p>
      <w:r>
        <w:t>6.6 接头/index 分配（关键）：</w:t>
      </w:r>
    </w:p>
    <w:p>
      <w:pPr>
        <w:pStyle w:val="ListBullet"/>
      </w:pPr>
      <w:r>
        <w:t>index 池：A01-A48, B01-B48（共 96 个/盒）。每生成 1 个“样本文库”（PC/NC 也算 1 个）消耗 1 个 index。</w:t>
      </w:r>
    </w:p>
    <w:p>
      <w:pPr>
        <w:pStyle w:val="ListBullet"/>
      </w:pPr>
      <w:r>
        <w:t>当 A48 后进入 B01；B48 后进入下一盒（盒号+1），index 回到 A01。</w:t>
      </w:r>
    </w:p>
    <w:p>
      <w:pPr>
        <w:pStyle w:val="ListBullet"/>
      </w:pPr>
      <w:r>
        <w:t>确认文库表后保存“下次起点”（批次+盒号+index 指针），用于下一次研究自动续接（如 B40 -&gt; B41）。</w:t>
      </w:r>
    </w:p>
    <w:p>
      <w:r>
        <w:t>6.7 PC/NC 展开规则：</w:t>
      </w:r>
    </w:p>
    <w:p>
      <w:pPr>
        <w:pStyle w:val="ListBullet"/>
      </w:pPr>
      <w:r>
        <w:t>PC：按 PC.xlsx 中 20 行物种展开（同一文库编号/index 重复 20 行）；</w:t>
      </w:r>
    </w:p>
    <w:p>
      <w:pPr>
        <w:pStyle w:val="ListBullet"/>
      </w:pPr>
      <w:r>
        <w:t>NC：按 NC.xlsx/NC列表中 1 行展开（标准=不检出）；</w:t>
      </w:r>
    </w:p>
    <w:p>
      <w:pPr>
        <w:pStyle w:val="ListBullet"/>
      </w:pPr>
      <w:r>
        <w:t>普通样本：按 Input table 的“样本-关注物种”展开；多物种用分隔符“; , ，；”解析。</w:t>
      </w:r>
    </w:p>
    <w:p>
      <w:pPr>
        <w:pStyle w:val="Heading1"/>
      </w:pPr>
      <w:r>
        <w:t>7. 页面与交互（单页工作台）</w:t>
      </w:r>
    </w:p>
    <w:p>
      <w:r>
        <w:t>左侧：输入区（上传文件 + 自动解析成表单/表格，支持编辑）。</w:t>
      </w:r>
    </w:p>
    <w:p>
      <w:r>
        <w:t>右侧：输出区（Tab：芯片表预览 / 文库表预览），按钮：生成芯片表 -&gt; 确认芯片表 -&gt; 生成文库表 -&gt; 确认并保存 -&gt; 导出。</w:t>
      </w:r>
    </w:p>
    <w:p>
      <w:pPr>
        <w:pStyle w:val="Heading1"/>
      </w:pPr>
      <w:r>
        <w:t>8. 校验与错误提示</w:t>
      </w:r>
    </w:p>
    <w:p>
      <w:pPr>
        <w:pStyle w:val="ListBullet"/>
      </w:pPr>
      <w:r>
        <w:t>测序仪SN 必须能匹配到型号（测序仪对应关系），否则标红并阻止“确认”；</w:t>
      </w:r>
    </w:p>
    <w:p>
      <w:pPr>
        <w:pStyle w:val="ListBullet"/>
      </w:pPr>
      <w:r>
        <w:t>物种名称若不在“物种列表”，允许继续但在预览中标黄，并在导出中保留空的分类/taxid；</w:t>
      </w:r>
    </w:p>
    <w:p>
      <w:pPr>
        <w:pStyle w:val="ListBullet"/>
      </w:pPr>
      <w:r>
        <w:t>样本数量（含PC/NC）应等于（样本唯一数 + PC + NC）；不一致时提示并要求用户确认；</w:t>
      </w:r>
    </w:p>
    <w:p>
      <w:pPr>
        <w:pStyle w:val="ListBullet"/>
      </w:pPr>
      <w:r>
        <w:t>接头起点必须符合 A01-A48 或 B01-B48；</w:t>
      </w:r>
    </w:p>
    <w:p>
      <w:pPr>
        <w:pStyle w:val="ListBullet"/>
      </w:pPr>
      <w:r>
        <w:t>Run 数必须为数字；Run 步长必须为正整数。</w:t>
      </w:r>
    </w:p>
    <w:p>
      <w:pPr>
        <w:pStyle w:val="Heading1"/>
      </w:pPr>
      <w:r>
        <w:t>9. 数据持久化（不存原始文件）</w:t>
      </w:r>
    </w:p>
    <w:p>
      <w:r>
        <w:t>保存对象：研究元信息、芯片表、文库表、接头库存状态、导出日志。上传文件仅用于解析，解析完成即删除/不落盘。</w:t>
      </w:r>
    </w:p>
    <w:p>
      <w:r>
        <w:t>建议存储：SQLite（MVP）或 Postgres（多人协作更稳）。</w:t>
      </w:r>
    </w:p>
    <w:p>
      <w:pPr>
        <w:pStyle w:val="Heading1"/>
      </w:pPr>
      <w:r>
        <w:t>10. API（建议，便于前后端解耦）</w:t>
      </w:r>
    </w:p>
    <w:p>
      <w:r>
        <w:t>POST /api/parse_input  -&gt; 返回 meta + samples（解析结果）</w:t>
      </w:r>
    </w:p>
    <w:p>
      <w:r>
        <w:t>POST /api/generate_chips -&gt; 返回 chip_rows（可带 run_step 可编辑）</w:t>
      </w:r>
    </w:p>
    <w:p>
      <w:r>
        <w:t>POST /api/confirm_chips  -&gt; 保存芯片表版本</w:t>
      </w:r>
    </w:p>
    <w:p>
      <w:r>
        <w:t>POST /api/generate_libraries -&gt; 返回 library_rows（含 index 分配）</w:t>
      </w:r>
    </w:p>
    <w:p>
      <w:r>
        <w:t>POST /api/confirm_libraries  -&gt; 保存文库表 + 更新接头库存状态</w:t>
      </w:r>
    </w:p>
    <w:p>
      <w:r>
        <w:t>GET  /api/export?type=chips|libraries|both -&gt; 返回 xlsx</w:t>
      </w:r>
    </w:p>
    <w:p>
      <w:pPr>
        <w:pStyle w:val="Heading1"/>
      </w:pPr>
      <w:r>
        <w:t>11. 验收用例（与模板示例对齐）</w:t>
      </w:r>
    </w:p>
    <w:p>
      <w:r>
        <w:t>以附件 Input table.xlsx 为例：</w:t>
      </w:r>
    </w:p>
    <w:p>
      <w:pPr>
        <w:pStyle w:val="ListBullet"/>
      </w:pPr>
      <w:r>
        <w:t>生成芯片表 6 行（2 台测序仪 * 3 天），实验项目字段为 F0020-分析性能-污染的控制措施；</w:t>
      </w:r>
    </w:p>
    <w:p>
      <w:pPr>
        <w:pStyle w:val="ListBullet"/>
      </w:pPr>
      <w:r>
        <w:t>芯片SN 格式符合规则（YYMMDD_SN_RUN_AXXXXXXXXX）；</w:t>
      </w:r>
    </w:p>
    <w:p>
      <w:pPr>
        <w:pStyle w:val="ListBullet"/>
      </w:pPr>
      <w:r>
        <w:t>生成文库表：每张芯片 30 个样本 + PC(20行) + NC(1行) = 51 行，共 306 行；</w:t>
      </w:r>
    </w:p>
    <w:p>
      <w:pPr>
        <w:pStyle w:val="ListBullet"/>
      </w:pPr>
      <w:r>
        <w:t>文库编号符合：样本名-后三位SN-index-YYYYMMDD；</w:t>
      </w:r>
    </w:p>
    <w:p>
      <w:pPr>
        <w:pStyle w:val="ListBullet"/>
      </w:pPr>
      <w:r>
        <w:t>确认后接头库存指针推进（起点 A01，跨 6 张芯片共消耗 192 个 index，应跨越 2 盒）。</w:t>
      </w:r>
    </w:p>
    <w:p>
      <w:pPr>
        <w:pStyle w:val="Heading1"/>
      </w:pPr>
      <w:r>
        <w:t>12. 附录</w:t>
      </w:r>
    </w:p>
    <w:p>
      <w:r>
        <w:t>A) JSON Schema：见 devpack/schemas（input/chip/library）。</w:t>
      </w:r>
    </w:p>
    <w:p>
      <w:r>
        <w:t>B) 示例输出：Example_Output_*.xlsx。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