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Redakt Faz 1 Test Belgesi</w:t>
      </w:r>
    </w:p>
    <w:p>
      <w:r>
        <w:rPr>
          <w:i/>
          <w:color w:val="667085"/>
        </w:rPr>
        <w:t>Tamamen sentetik veriler · DOCX biçim koruma testi</w:t>
      </w:r>
    </w:p>
    <w:p>
      <w:pPr>
        <w:pStyle w:val="Heading1"/>
      </w:pPr>
      <w:r>
        <w:t>Yapılandırılmış test verileri</w:t>
      </w:r>
    </w:p>
    <w:p>
      <w:r>
        <w:t>Aşağıdaki örnekler gerçek kişilere ait değildir. Her satır Redakt'ın bir Faz 1 kategorisini doğrular.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E0E7"/>
          <w:left w:val="single" w:sz="4" w:color="D9E0E7"/>
          <w:bottom w:val="single" w:sz="4" w:color="D9E0E7"/>
          <w:right w:val="single" w:sz="4" w:color="D9E0E7"/>
          <w:insideH w:val="single" w:sz="4" w:color="D9E0E7"/>
          <w:insideV w:val="single" w:sz="4" w:color="D9E0E7"/>
        </w:tblBorders>
      </w:tblPr>
      <w:tblGrid>
        <w:gridCol w:w="2160"/>
        <w:gridCol w:w="7200"/>
      </w:tblGrid>
      <w:tr>
        <w:tc>
          <w:tcPr>
            <w:tcW w:type="dxa" w:w="2160"/>
            <w:shd w:fill="F2F4F7"/>
            <w:vAlign w:val="center"/>
          </w:tcPr>
          <w:p>
            <w:r>
              <w:rPr>
                <w:b/>
                <w:color w:val="0B2545"/>
              </w:rPr>
              <w:t>Kategori</w:t>
            </w:r>
          </w:p>
        </w:tc>
        <w:tc>
          <w:tcPr>
            <w:tcW w:type="dxa" w:w="7200"/>
            <w:shd w:fill="F2F4F7"/>
            <w:vAlign w:val="center"/>
          </w:tcPr>
          <w:p>
            <w:r>
              <w:rPr>
                <w:b/>
                <w:color w:val="0B2545"/>
              </w:rPr>
              <w:t>Sentetik örnek</w:t>
            </w:r>
          </w:p>
        </w:tc>
      </w:tr>
      <w:tr>
        <w:tc>
          <w:tcPr>
            <w:tcW w:type="dxa" w:w="2160"/>
            <w:vAlign w:val="center"/>
          </w:tcPr>
          <w:p>
            <w:r>
              <w:t>E-posta</w:t>
            </w:r>
          </w:p>
        </w:tc>
        <w:tc>
          <w:tcPr>
            <w:tcW w:type="dxa" w:w="7200"/>
            <w:vAlign w:val="center"/>
          </w:tcPr>
          <w:p>
            <w:r>
              <w:rPr>
                <w:b/>
              </w:rPr>
              <w:t>demo@</w:t>
            </w:r>
            <w:r>
              <w:rPr>
                <w:i/>
              </w:rPr>
              <w:t>example.com</w:t>
            </w:r>
          </w:p>
        </w:tc>
      </w:tr>
      <w:tr>
        <w:tc>
          <w:tcPr>
            <w:tcW w:type="dxa" w:w="2160"/>
            <w:vAlign w:val="center"/>
          </w:tcPr>
          <w:p>
            <w:r>
              <w:t>Telefon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Consolas" w:hAnsi="Consolas"/>
              </w:rPr>
              <w:t>+90 532 123 45 67</w:t>
            </w:r>
          </w:p>
        </w:tc>
      </w:tr>
      <w:tr>
        <w:tc>
          <w:tcPr>
            <w:tcW w:type="dxa" w:w="2160"/>
            <w:vAlign w:val="center"/>
          </w:tcPr>
          <w:p>
            <w:r>
              <w:t>IBAN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Consolas" w:hAnsi="Consolas"/>
              </w:rPr>
              <w:t>TR33 0006 1005 1978 6457 8413 26</w:t>
            </w:r>
          </w:p>
        </w:tc>
      </w:tr>
      <w:tr>
        <w:tc>
          <w:tcPr>
            <w:tcW w:type="dxa" w:w="2160"/>
            <w:vAlign w:val="center"/>
          </w:tcPr>
          <w:p>
            <w:r>
              <w:t>T.C. Kimlik No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Consolas" w:hAnsi="Consolas"/>
              </w:rPr>
              <w:t>10000000146</w:t>
            </w:r>
          </w:p>
        </w:tc>
      </w:tr>
      <w:tr>
        <w:tc>
          <w:tcPr>
            <w:tcW w:type="dxa" w:w="2160"/>
            <w:vAlign w:val="center"/>
          </w:tcPr>
          <w:p>
            <w:r>
              <w:t>Kredi Kartı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Consolas" w:hAnsi="Consolas"/>
              </w:rPr>
              <w:t>4242 4242 4242 4242</w:t>
            </w:r>
          </w:p>
        </w:tc>
      </w:tr>
    </w:tbl>
    <w:p>
      <w:pPr>
        <w:spacing w:before="200"/>
      </w:pPr>
      <w:r>
        <w:rPr>
          <w:b/>
        </w:rPr>
        <w:t xml:space="preserve">Tutarlılık kontrolü: </w:t>
      </w:r>
      <w:r>
        <w:t>demo@example.com değeri bu paragrafta ikinci kez kullanılır ve aynı [EMAIL_1] etiketiyle değişmelidir.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Redakt Faz 1 Test Belgesi</dc:title>
  <dc:subject>Sentetik PII redaksiyon testi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