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EKLER</w:t>
      </w:r>
    </w:p>
    <w:p>
      <w:pPr>
        <w:pStyle w:val="Heading2"/>
        <w:spacing w:after="150" w:before="200"/>
      </w:pPr>
      <w:r>
        <w:t xml:space="preserve">1. İDO Ege Macerası — UI Düzenleme Çalışması</w:t>
      </w:r>
    </w:p>
    <w:p>
      <w:pPr>
        <w:spacing w:after="250"/>
      </w:pPr>
      <w:r>
        <w:rPr>
          <w:sz w:val="20"/>
          <w:szCs w:val="20"/>
        </w:rPr>
        <w:t xml:space="preserve">İDO'nun Ege adalarından Yunan adalarına yapılan feribot seferleri için hazırlanmış interaktif tanıtım arayüzü. Bu proje üzerinde arayüz (UI) düzenleme ve iyileştirme çalışmaları yapılmıştır. Aşağıda uygulamanın giriş ekranı, karar verme sahnesi ve sonuç ekranı yer almaktadır.</w:t>
      </w:r>
    </w:p>
    <w:p>
      <w:pPr>
        <w:spacing w:after="100"/>
        <w:jc w:val="center"/>
      </w:pPr>
      <w:r>
        <w:drawing>
          <wp:inline distT="0" distB="0" distL="0" distR="0">
            <wp:extent cx="4000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533650"/>
                    </a:xfrm>
                    <a:prstGeom prst="rect">
                      <a:avLst/>
                    </a:prstGeom>
                  </pic:spPr>
                </pic:pic>
              </a:graphicData>
            </a:graphic>
          </wp:inline>
        </w:drawing>
      </w:r>
    </w:p>
    <w:p>
      <w:pPr>
        <w:spacing w:after="500"/>
        <w:jc w:val="center"/>
      </w:pPr>
      <w:r>
        <w:rPr>
          <w:i/>
          <w:iCs/>
          <w:color w:val="555555"/>
          <w:sz w:val="20"/>
          <w:szCs w:val="20"/>
        </w:rPr>
        <w:t xml:space="preserve">Giriş Ekranı — Uygulamanın karşılama sayfası.</w:t>
      </w:r>
    </w:p>
    <w:p>
      <w:r>
        <w:br w:type="page"/>
      </w:r>
    </w:p>
    <w:p>
      <w:pPr>
        <w:spacing w:after="10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47925"/>
                    </a:xfrm>
                    <a:prstGeom prst="rect">
                      <a:avLst/>
                    </a:prstGeom>
                  </pic:spPr>
                </pic:pic>
              </a:graphicData>
            </a:graphic>
          </wp:inline>
        </w:drawing>
      </w:r>
    </w:p>
    <w:p>
      <w:pPr>
        <w:spacing w:after="500"/>
        <w:jc w:val="center"/>
      </w:pPr>
      <w:r>
        <w:rPr>
          <w:i/>
          <w:iCs/>
          <w:color w:val="555555"/>
          <w:sz w:val="20"/>
          <w:szCs w:val="20"/>
        </w:rPr>
        <w:t xml:space="preserve">Karar Verme Sahnesi — Kullanıcının tayfa seçimini yaptığı, gemi/ada illüstrasyonu ve yolculuk ilerleme göstergesinin yer aldığı ekran.</w:t>
      </w:r>
    </w:p>
    <w:p>
      <w:pPr>
        <w:spacing w:after="100"/>
        <w:jc w:val="center"/>
      </w:pPr>
      <w:r>
        <w:drawing>
          <wp:inline distT="0" distB="0" distL="0" distR="0">
            <wp:extent cx="3048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4572000"/>
                    </a:xfrm>
                    <a:prstGeom prst="rect">
                      <a:avLst/>
                    </a:prstGeom>
                  </pic:spPr>
                </pic:pic>
              </a:graphicData>
            </a:graphic>
          </wp:inline>
        </w:drawing>
      </w:r>
    </w:p>
    <w:p>
      <w:pPr>
        <w:spacing w:after="500"/>
        <w:jc w:val="center"/>
      </w:pPr>
      <w:r>
        <w:rPr>
          <w:i/>
          <w:iCs/>
          <w:color w:val="555555"/>
          <w:sz w:val="20"/>
          <w:szCs w:val="20"/>
        </w:rPr>
        <w:t xml:space="preserve">Sonuç Ekranı — Kullanıcının verdiği kararlara göre belirlenen karakter arketipi ve önerilen ada (Leros) ile paylaşım seçeneklerinin gösterildiği final ekranı.</w:t>
      </w:r>
    </w:p>
    <w:p>
      <w:pPr>
        <w:spacing w:after="500"/>
        <w:jc w:val="center"/>
      </w:pPr>
      <w:r>
        <w:rPr>
          <w:i/>
          <w:iCs/>
        </w:rPr>
        <w:t xml:space="preserve">Dijital Signage ve Toplantı Odası Yönetim Sistemi</w:t>
      </w:r>
    </w:p>
    <w:p>
      <w:pPr>
        <w:pStyle w:val="Heading2"/>
        <w:spacing w:after="150" w:before="200"/>
      </w:pPr>
      <w:r>
        <w:t xml:space="preserve">2. Giriş Ekranı</w:t>
      </w:r>
    </w:p>
    <w:p>
      <w:pPr>
        <w:spacing w:after="100"/>
        <w:jc w:val="center"/>
      </w:pPr>
      <w:r>
        <w:drawing>
          <wp:inline distT="0" distB="0" distL="0" distR="0">
            <wp:extent cx="4000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19275"/>
                    </a:xfrm>
                    <a:prstGeom prst="rect">
                      <a:avLst/>
                    </a:prstGeom>
                  </pic:spPr>
                </pic:pic>
              </a:graphicData>
            </a:graphic>
          </wp:inline>
        </w:drawing>
      </w:r>
    </w:p>
    <w:p>
      <w:pPr>
        <w:spacing w:after="500"/>
        <w:jc w:val="center"/>
      </w:pPr>
      <w:r>
        <w:rPr>
          <w:i/>
          <w:iCs/>
          <w:color w:val="555555"/>
          <w:sz w:val="20"/>
          <w:szCs w:val="20"/>
        </w:rPr>
        <w:t xml:space="preserve">Şirket kimlik numarası (kayıt sırasında otomatik atanan, 6 haneli) ve şifre ile giriş yapılan, kurumsal renklere uygun tasarlanmış kimlik doğrulama ekranı. Hesabı olmayan kullanıcılar "Kayıt Olun" bağlantısından yeni hesap oluşturabilir.</w:t>
      </w:r>
    </w:p>
    <w:p>
      <w:pPr>
        <w:pStyle w:val="Heading2"/>
        <w:spacing w:after="150" w:before="200"/>
      </w:pPr>
      <w:r>
        <w:t xml:space="preserve">3. Odalar Yönetim Paneli (Özel Kalem Müdürü Yetkisiyle)</w:t>
      </w:r>
    </w:p>
    <w:p>
      <w:pPr>
        <w:spacing w:after="100"/>
        <w:jc w:val="center"/>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81200"/>
                    </a:xfrm>
                    <a:prstGeom prst="rect">
                      <a:avLst/>
                    </a:prstGeom>
                  </pic:spPr>
                </pic:pic>
              </a:graphicData>
            </a:graphic>
          </wp:inline>
        </w:drawing>
      </w:r>
    </w:p>
    <w:p>
      <w:pPr>
        <w:spacing w:after="500"/>
        <w:jc w:val="center"/>
      </w:pPr>
      <w:r>
        <w:rPr>
          <w:i/>
          <w:iCs/>
          <w:color w:val="555555"/>
          <w:sz w:val="20"/>
          <w:szCs w:val="20"/>
        </w:rPr>
        <w:t xml:space="preserve">Özel Kalem Müdürü rolündeki kullanıcının gördüğü tam yetkili oda yönetim paneli — durum bilgisi (aktif / pasif / arızalı) ve Ekranı Aç, Düzenle, Sil işlemlerinin tamamı görünür durumdadır.</w:t>
      </w:r>
    </w:p>
    <w:p>
      <w:r>
        <w:br w:type="page"/>
      </w:r>
    </w:p>
    <w:p>
      <w:pPr>
        <w:pStyle w:val="Heading2"/>
        <w:spacing w:after="150" w:before="200"/>
      </w:pPr>
      <w:r>
        <w:t xml:space="preserve">4. Toplantılar Listesi (Özel Kalem Müdürü Yetkisiyle)</w:t>
      </w:r>
    </w:p>
    <w:p>
      <w:pPr>
        <w:spacing w:after="100"/>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19225"/>
                    </a:xfrm>
                    <a:prstGeom prst="rect">
                      <a:avLst/>
                    </a:prstGeom>
                  </pic:spPr>
                </pic:pic>
              </a:graphicData>
            </a:graphic>
          </wp:inline>
        </w:drawing>
      </w:r>
    </w:p>
    <w:p>
      <w:pPr>
        <w:spacing w:after="500"/>
        <w:jc w:val="center"/>
      </w:pPr>
      <w:r>
        <w:rPr>
          <w:i/>
          <w:iCs/>
          <w:color w:val="555555"/>
          <w:sz w:val="20"/>
          <w:szCs w:val="20"/>
        </w:rPr>
        <w:t xml:space="preserve">Özel Kalem Müdürü rolündeki kullanıcının gördüğü toplantı listesi — Yönetim Kurulu toplantısı ve acil öncelik rozetleri görünür, tüm toplantılarda Düzenle/Sil işlemleri aktiftir.</w:t>
      </w:r>
    </w:p>
    <w:p>
      <w:pPr>
        <w:pStyle w:val="Heading2"/>
        <w:spacing w:after="150" w:before="200"/>
      </w:pPr>
      <w:r>
        <w:t xml:space="preserve">5. Yeni Toplantı Ekleme Formu</w:t>
      </w:r>
    </w:p>
    <w:p>
      <w:pPr>
        <w:spacing w:after="100"/>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24125"/>
                    </a:xfrm>
                    <a:prstGeom prst="rect">
                      <a:avLst/>
                    </a:prstGeom>
                  </pic:spPr>
                </pic:pic>
              </a:graphicData>
            </a:graphic>
          </wp:inline>
        </w:drawing>
      </w:r>
    </w:p>
    <w:p>
      <w:pPr>
        <w:spacing w:after="500"/>
        <w:jc w:val="center"/>
      </w:pPr>
      <w:r>
        <w:rPr>
          <w:i/>
          <w:iCs/>
          <w:color w:val="555555"/>
          <w:sz w:val="20"/>
          <w:szCs w:val="20"/>
        </w:rPr>
        <w:t xml:space="preserve">Oda, toplantı tipi, tarih/saat ve öncelik durumu seçilerek yeni bir toplantının oluşturulduğu form. Yönetim Kurulu toplantı tipi, yalnızca yetkili role sahip kullanıcılar tarafından seçilebilmektedir.</w:t>
      </w:r>
    </w:p>
    <w:p>
      <w:r>
        <w:br w:type="page"/>
      </w:r>
    </w:p>
    <w:p>
      <w:pPr>
        <w:pStyle w:val="Heading2"/>
        <w:spacing w:after="150" w:before="200"/>
      </w:pPr>
      <w:r>
        <w:t xml:space="preserve">6. Toplantı Düzenleme Formu</w:t>
      </w:r>
    </w:p>
    <w:p>
      <w:pPr>
        <w:spacing w:after="100"/>
        <w:jc w:val="center"/>
      </w:pPr>
      <w:r>
        <w:drawing>
          <wp:inline distT="0" distB="0" distL="0" distR="0">
            <wp:extent cx="4762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71700"/>
                    </a:xfrm>
                    <a:prstGeom prst="rect">
                      <a:avLst/>
                    </a:prstGeom>
                  </pic:spPr>
                </pic:pic>
              </a:graphicData>
            </a:graphic>
          </wp:inline>
        </w:drawing>
      </w:r>
    </w:p>
    <w:p>
      <w:pPr>
        <w:spacing w:after="500"/>
        <w:jc w:val="center"/>
      </w:pPr>
      <w:r>
        <w:rPr>
          <w:i/>
          <w:iCs/>
          <w:color w:val="555555"/>
          <w:sz w:val="20"/>
          <w:szCs w:val="20"/>
        </w:rPr>
        <w:t xml:space="preserve">Mevcut bir toplantının tipinin, önceliğinin ve zaman bilgilerinin güncellendiği düzenleme formu.</w:t>
      </w:r>
    </w:p>
    <w:p>
      <w:r>
        <w:br w:type="page"/>
      </w:r>
    </w:p>
    <w:p>
      <w:pPr>
        <w:pStyle w:val="Heading2"/>
        <w:spacing w:after="150" w:before="200"/>
      </w:pPr>
      <w:r>
        <w:t xml:space="preserve">7. Sistem Mimarisi — MVC Şeması</w:t>
      </w:r>
    </w:p>
    <w:p>
      <w:pPr>
        <w:spacing w:after="100"/>
        <w:jc w:val="center"/>
      </w:pPr>
      <w:r>
        <w:drawing>
          <wp:inline distT="0" distB="0" distL="0" distR="0">
            <wp:extent cx="5524500" cy="724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7248525"/>
                    </a:xfrm>
                    <a:prstGeom prst="rect">
                      <a:avLst/>
                    </a:prstGeom>
                  </pic:spPr>
                </pic:pic>
              </a:graphicData>
            </a:graphic>
          </wp:inline>
        </w:drawing>
      </w:r>
    </w:p>
    <w:p>
      <w:pPr>
        <w:spacing w:after="500"/>
        <w:jc w:val="center"/>
      </w:pPr>
      <w:r>
        <w:rPr>
          <w:i/>
          <w:iCs/>
          <w:color w:val="555555"/>
          <w:sz w:val="20"/>
          <w:szCs w:val="20"/>
        </w:rPr>
        <w:t xml:space="preserve">Projenin Model-View-Controller (MVC) mimarisine göre katmanlı yapısı: Route katmanından ve yetkilendirme ara katmanından (middleware) başlayarak Controller, View ve Model bileşenleri arasındaki akışın ve veritabanına ulaşan sorgunun gösterildiği güncel şema.</w:t>
      </w:r>
    </w:p>
    <w:p>
      <w:r>
        <w:br w:type="page"/>
      </w:r>
    </w:p>
    <w:p>
      <w:pPr>
        <w:pStyle w:val="Heading2"/>
        <w:spacing w:after="150" w:before="200"/>
      </w:pPr>
      <w:r>
        <w:t xml:space="preserve">8. Bakım Sorumlusu — Arıza Bildirim Akışı</w:t>
      </w:r>
    </w:p>
    <w:p>
      <w:pPr>
        <w:spacing w:after="100"/>
        <w:jc w:val="center"/>
      </w:pPr>
      <w:r>
        <w:drawing>
          <wp:inline distT="0" distB="0" distL="0" distR="0">
            <wp:extent cx="5334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76475"/>
                    </a:xfrm>
                    <a:prstGeom prst="rect">
                      <a:avLst/>
                    </a:prstGeom>
                  </pic:spPr>
                </pic:pic>
              </a:graphicData>
            </a:graphic>
          </wp:inline>
        </w:drawing>
      </w:r>
    </w:p>
    <w:p>
      <w:pPr>
        <w:spacing w:after="500"/>
        <w:jc w:val="center"/>
      </w:pPr>
      <w:r>
        <w:rPr>
          <w:i/>
          <w:iCs/>
          <w:color w:val="555555"/>
          <w:sz w:val="20"/>
          <w:szCs w:val="20"/>
        </w:rPr>
        <w:t xml:space="preserve">Bakım Sorumlusu rolündeki kullanıcının bir odayı arızalı olarak işaretlemek için açtığı pop-up form.</w:t>
      </w:r>
    </w:p>
    <w:p>
      <w:pPr>
        <w:spacing w:after="100"/>
        <w:jc w:val="center"/>
      </w:pPr>
      <w:r>
        <w:drawing>
          <wp:inline distT="0" distB="0" distL="0" distR="0">
            <wp:extent cx="5334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71675"/>
                    </a:xfrm>
                    <a:prstGeom prst="rect">
                      <a:avLst/>
                    </a:prstGeom>
                  </pic:spPr>
                </pic:pic>
              </a:graphicData>
            </a:graphic>
          </wp:inline>
        </w:drawing>
      </w:r>
    </w:p>
    <w:p>
      <w:pPr>
        <w:spacing w:after="500"/>
        <w:jc w:val="center"/>
      </w:pPr>
      <w:r>
        <w:rPr>
          <w:i/>
          <w:iCs/>
          <w:color w:val="555555"/>
          <w:sz w:val="20"/>
          <w:szCs w:val="20"/>
        </w:rPr>
        <w:t xml:space="preserve">Arıza bildirimi sonrası oda listesindeki güncel görünüm — arızalı oda kırmızı vurgulu, "Arızayı Kapat" butonu ile tamir sonrası durumun kaldırılabildiği ekran.</w:t>
      </w:r>
    </w:p>
    <w:p>
      <w:pPr>
        <w:pStyle w:val="Heading2"/>
        <w:spacing w:after="150" w:before="200"/>
      </w:pPr>
      <w:r>
        <w:t xml:space="preserve">9. Rol Bazlı Kısıtlı Toplantı Görünümü</w:t>
      </w:r>
    </w:p>
    <w:p>
      <w:pPr>
        <w:spacing w:after="100"/>
        <w:jc w:val="center"/>
      </w:pPr>
      <w:r>
        <w:drawing>
          <wp:inline distT="0" distB="0" distL="0" distR="0">
            <wp:extent cx="5334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057275"/>
                    </a:xfrm>
                    <a:prstGeom prst="rect">
                      <a:avLst/>
                    </a:prstGeom>
                  </pic:spPr>
                </pic:pic>
              </a:graphicData>
            </a:graphic>
          </wp:inline>
        </w:drawing>
      </w:r>
    </w:p>
    <w:p>
      <w:pPr>
        <w:spacing w:after="500"/>
        <w:jc w:val="center"/>
      </w:pPr>
      <w:r>
        <w:rPr>
          <w:i/>
          <w:iCs/>
          <w:color w:val="555555"/>
          <w:sz w:val="20"/>
          <w:szCs w:val="20"/>
        </w:rPr>
        <w:t xml:space="preserve">Düzenleme/silme yetkisi olmayan bir rolle (Bakım Sorumlusu / Personel) görüntülenen toplantı listesi — "Düzenle" ve "Sil" butonları ile İşlemler sütunu, yetkisiz kullanıcılar için tamamen gizlenmiştir.</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fb839611de913ee4318d58557c7baf1906da43.png"/><Relationship Id="rId8" Type="http://schemas.openxmlformats.org/officeDocument/2006/relationships/image" Target="media/065c2fa41545b52b3e917f7539d063783a783539.png"/><Relationship Id="rId9" Type="http://schemas.openxmlformats.org/officeDocument/2006/relationships/image" Target="media/7e26f7b6da59841865e6b10b03dff4b31f230321.png"/><Relationship Id="rId10" Type="http://schemas.openxmlformats.org/officeDocument/2006/relationships/image" Target="media/b1f7c476843a6fbad5b2d67a6f26e2972db43b67.png"/><Relationship Id="rId11" Type="http://schemas.openxmlformats.org/officeDocument/2006/relationships/image" Target="media/080b03517bc0b944af8f8d53e24275352ca5d36c.png"/><Relationship Id="rId12" Type="http://schemas.openxmlformats.org/officeDocument/2006/relationships/image" Target="media/03b312bf45fe66260019cf344826ea2458af81ca.png"/><Relationship Id="rId13" Type="http://schemas.openxmlformats.org/officeDocument/2006/relationships/image" Target="media/00046130e2ed7f12c5917f6e559f6baa4207f632.png"/><Relationship Id="rId14" Type="http://schemas.openxmlformats.org/officeDocument/2006/relationships/image" Target="media/48716c7afa13cb15e4617fec6b7ef8bdc78d35d5.png"/><Relationship Id="rId15" Type="http://schemas.openxmlformats.org/officeDocument/2006/relationships/image" Target="media/4f4d3e20d6902ead61f24e977bafccf06330e173.png"/><Relationship Id="rId16" Type="http://schemas.openxmlformats.org/officeDocument/2006/relationships/image" Target="media/e752451fdb214a19898a99e09015cefc3859bdc7.png"/><Relationship Id="rId17" Type="http://schemas.openxmlformats.org/officeDocument/2006/relationships/image" Target="media/b41fec8d33e3d25c2e350a7c320878a852bb51ac.png"/><Relationship Id="rId18" Type="http://schemas.openxmlformats.org/officeDocument/2006/relationships/image" Target="media/96adcd89fa8f54928ca1264133b6b0ad5748249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2026-08-24T11:48:46.708Z</dcterms:created>
  <dcterms:modified xsi:type="dcterms:W3CDTF">2026-08-24T11:48:46.719Z</dcterms:modified>
</cp:coreProperties>
</file>

<file path=docProps/custom.xml><?xml version="1.0" encoding="utf-8"?>
<Properties xmlns="http://schemas.openxmlformats.org/officeDocument/2006/custom-properties" xmlns:vt="http://schemas.openxmlformats.org/officeDocument/2006/docPropsVTypes"/>
</file>