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October 22, 2024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at meeting: Chris, Elijah, Poppy, Asha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Regrets: Caro, Burak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last week: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Proposal submitted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was satisfied with the submission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Evelyn/another TA will have it marked by next week, so we will go over that in the meeting Oct 29th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is an option to re-submit the proposal with revisions based on feedback, can receive up to 5 marks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Moving forward: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on Aims 1, 2, and 4, as Aim 3 requires outputs from 1 and 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Allocation and summary of tasks: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Look at Alpha and Beta diversity between 4 groups: healthy &lt;55, healthy &gt;55, pMS &lt;55, pMS &gt;55 to determine compositional changes across age groups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diversity analysis and figures: Elijah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Beta diversity analysis and figures: Burak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ALL metrics that you get from R (all alpha, beta weighted/unweighted, distance matrices, etc.)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same analysis as Aim 1, with the addition of smoking groups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diversity analysis and figures: Poppy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Beta diversity analysis and figures: Caro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Diversity and PCA plots to observe unique clustering for pMS/smoking groups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4: Asha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working on the skeleton of the code without the output from other aims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microbiome analysis of the groups that are present in Aim 3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Deliverables for next week: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Alpha/Beta analysis and figures for Aim 1 and 2, core microbiome analysis for Aim 4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figures should be put into a powerpoint, sent to Chris before or day of meeting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Team 10 Meeting Minutes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