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 29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proposal feedback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did we do? Any areas where we exceeded or could improve? Any urgent changes to be made to any methods/aims?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for revision and resubmission based on feedback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Make changes in the introduction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Be more intentional about each aims to connect with the broad question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Methodology – add indicator taxa in the first aim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Set a meeting: divide workload to make edits (preferably different section compared to what we worked 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 Figures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findings/trends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Aim 1 alpha diversity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: no sig differences, but do stats on Chao1, Shannon and InvSimpson to confirm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Maker the graphs look nicer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For manuscript include: observed, shannon, chow1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Use colours to make it look visually appealing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Aim2 alpha diversity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Differences between certain groups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Can say smoking has an impact on microbiome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Smoking does not impact old people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Do stats on: Observed, Chao1, Shannon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Shannon: PMS/smoker/old start to decrease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spacing w:after="0" w:afterAutospacing="0" w:lineRule="auto"/>
        <w:ind w:left="432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Shannon: richness and evenness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spacing w:after="0" w:afterAutospacing="0" w:lineRule="auto"/>
        <w:ind w:left="432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Chao1: richness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spacing w:after="0" w:afterAutospacing="0" w:lineRule="auto"/>
        <w:ind w:left="432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Observed: richness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Beta diversity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: do Permanova analysis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Aim 3: Core microbiome analysis: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Maybe change 0 to 0.01 in case there are rare species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80 is okay but can go as low as 50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Chris said try 50% as another option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There are at least 2 core species in all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Young MS nonsmokers have a lot more distinct species compared to other groups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Old MS: look into literature that relates age to decrease in microbiome diversity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Check the list of species between Young MS smoker vs nonsmoker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Smoking still influences the core microbiome when you’re older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288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Asha can include all the 8 groups in the vein diagram but figure will be produced as an UpSet bar chart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lineRule="auto"/>
        <w:ind w:left="3600" w:hanging="36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From there, discuss 2-3 core microbes and why they may be abundant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diversity metrics should we narrow down to?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Plans for moving forward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start on literature (esp. Aim2 alpha diversity/beta diversity) and interpret why the data is shown like that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with the aims we are working on? Is it best to start on write ups for each section after all analyses are done? We are here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↓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990000"/>
          <w:sz w:val="28"/>
          <w:szCs w:val="28"/>
          <w:u w:val="single"/>
        </w:rPr>
      </w:pPr>
      <w:r w:rsidDel="00000000" w:rsidR="00000000" w:rsidRPr="00000000">
        <w:rPr>
          <w:b w:val="1"/>
          <w:color w:val="990000"/>
          <w:sz w:val="28"/>
          <w:szCs w:val="28"/>
          <w:u w:val="single"/>
          <w:rtl w:val="0"/>
        </w:rPr>
        <w:t xml:space="preserve">Action Items For next meeting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Remake Aim1/2 alpha diversity figures to only include the selected parameters (look in notes above)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Aim1 beta diversity add ellipsoids for where clusters are present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Aim1 add indicator taxa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stats on alpha diversity figures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Redo core microbiome analysis with 0.01 and 50%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UpSet function in 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 the data (learning what the ASVs are) for the manuscript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Revise proposal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DeSeq for next week if time, but focus on completing Aim1 and Aim2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