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C8445" w14:textId="6075923C" w:rsidR="00B269EB" w:rsidRDefault="00B269EB">
      <w:r>
        <w:t>Conclusions from 475 data</w:t>
      </w:r>
    </w:p>
    <w:p w14:paraId="64309D8C" w14:textId="33E15C39" w:rsidR="00EF1811" w:rsidRDefault="00EF1811" w:rsidP="00B269EB">
      <w:pPr>
        <w:pStyle w:val="ListParagraph"/>
        <w:numPr>
          <w:ilvl w:val="0"/>
          <w:numId w:val="3"/>
        </w:numPr>
      </w:pPr>
      <w:r>
        <w:t xml:space="preserve">Age and </w:t>
      </w:r>
      <w:proofErr w:type="spellStart"/>
      <w:r>
        <w:t>pMS</w:t>
      </w:r>
      <w:proofErr w:type="spellEnd"/>
      <w:r>
        <w:t xml:space="preserve"> are the primary divers of the differences, with smoking potentially acting as a modifier rather than a direct control for these factors</w:t>
      </w:r>
    </w:p>
    <w:p w14:paraId="4428F894" w14:textId="488549C0" w:rsidR="00057B4A" w:rsidRDefault="00057B4A" w:rsidP="00057B4A">
      <w:pPr>
        <w:pStyle w:val="ListParagraph"/>
        <w:numPr>
          <w:ilvl w:val="1"/>
          <w:numId w:val="3"/>
        </w:numPr>
      </w:pPr>
      <w:r>
        <w:t xml:space="preserve">Smoking </w:t>
      </w:r>
      <w:r w:rsidR="007A24DE">
        <w:t xml:space="preserve">modifies or interacts with the effects of age and </w:t>
      </w:r>
      <w:proofErr w:type="spellStart"/>
      <w:r w:rsidR="007A24DE">
        <w:t>pMS</w:t>
      </w:r>
      <w:proofErr w:type="spellEnd"/>
      <w:r w:rsidR="007A24DE">
        <w:t xml:space="preserve"> on the microbiome, amplifying differences that might otherwise remain subtle</w:t>
      </w:r>
    </w:p>
    <w:p w14:paraId="757EC70E" w14:textId="5BF71433" w:rsidR="00EE20DE" w:rsidRDefault="00EE20DE" w:rsidP="00057B4A">
      <w:pPr>
        <w:pStyle w:val="ListParagraph"/>
        <w:numPr>
          <w:ilvl w:val="1"/>
          <w:numId w:val="3"/>
        </w:numPr>
      </w:pPr>
      <w:r>
        <w:t xml:space="preserve">When smoking is not included, variability within groups might be higher, masking the effects of age or </w:t>
      </w:r>
      <w:proofErr w:type="spellStart"/>
      <w:r>
        <w:t>pMS</w:t>
      </w:r>
      <w:proofErr w:type="spellEnd"/>
    </w:p>
    <w:p w14:paraId="0BA68C6A" w14:textId="58CF90E0" w:rsidR="00EE20DE" w:rsidRDefault="00EE20DE" w:rsidP="00EE20DE">
      <w:pPr>
        <w:pStyle w:val="ListParagraph"/>
        <w:numPr>
          <w:ilvl w:val="2"/>
          <w:numId w:val="3"/>
        </w:numPr>
      </w:pPr>
      <w:r>
        <w:t xml:space="preserve">Including smoking reduces unexplained variability by accounting for its effects, making the differences due to age and </w:t>
      </w:r>
      <w:proofErr w:type="spellStart"/>
      <w:r>
        <w:t>pMS</w:t>
      </w:r>
      <w:proofErr w:type="spellEnd"/>
      <w:r>
        <w:t xml:space="preserve"> clearer</w:t>
      </w:r>
    </w:p>
    <w:p w14:paraId="468C451E" w14:textId="6242DD0B" w:rsidR="00EE20DE" w:rsidRDefault="00EE20DE" w:rsidP="00EE20DE">
      <w:pPr>
        <w:pStyle w:val="ListParagraph"/>
        <w:numPr>
          <w:ilvl w:val="1"/>
          <w:numId w:val="3"/>
        </w:numPr>
      </w:pPr>
      <w:r>
        <w:t xml:space="preserve">Therefore, smoking is likely a modifier or </w:t>
      </w:r>
      <w:r w:rsidR="003D0814">
        <w:t>amplifier</w:t>
      </w:r>
      <w:r>
        <w:t xml:space="preserve"> of the effects of age and </w:t>
      </w:r>
      <w:proofErr w:type="spellStart"/>
      <w:r>
        <w:t>pMS</w:t>
      </w:r>
      <w:proofErr w:type="spellEnd"/>
      <w:r>
        <w:t>.</w:t>
      </w:r>
      <w:r w:rsidR="003D0814">
        <w:t xml:space="preserve"> This highlights the complex relationship in the gut </w:t>
      </w:r>
      <w:proofErr w:type="spellStart"/>
      <w:r w:rsidR="003D0814">
        <w:t>mirobiome</w:t>
      </w:r>
      <w:proofErr w:type="spellEnd"/>
    </w:p>
    <w:p w14:paraId="2ECB76DE" w14:textId="2010A33C" w:rsidR="003D47FD" w:rsidRDefault="003D47FD" w:rsidP="00B269EB">
      <w:pPr>
        <w:pStyle w:val="ListParagraph"/>
        <w:numPr>
          <w:ilvl w:val="0"/>
          <w:numId w:val="3"/>
        </w:numPr>
      </w:pPr>
      <w:proofErr w:type="spellStart"/>
      <w:r>
        <w:t>pMS</w:t>
      </w:r>
      <w:proofErr w:type="spellEnd"/>
      <w:r>
        <w:t xml:space="preserve"> may influence </w:t>
      </w:r>
      <w:r w:rsidR="00A44BB5">
        <w:t xml:space="preserve">microbiome changes similar to those seen with aging. Higher abundance when </w:t>
      </w:r>
      <w:proofErr w:type="spellStart"/>
      <w:r w:rsidR="00A44BB5">
        <w:t>pMS</w:t>
      </w:r>
      <w:proofErr w:type="spellEnd"/>
      <w:r w:rsidR="00A44BB5">
        <w:t xml:space="preserve"> and age interact.</w:t>
      </w:r>
      <w:r w:rsidR="00057B4A">
        <w:t xml:space="preserve"> </w:t>
      </w:r>
    </w:p>
    <w:p w14:paraId="3E604330" w14:textId="73956CD4" w:rsidR="00057B4A" w:rsidRDefault="00057B4A" w:rsidP="00B269EB">
      <w:pPr>
        <w:pStyle w:val="ListParagraph"/>
        <w:numPr>
          <w:ilvl w:val="0"/>
          <w:numId w:val="3"/>
        </w:numPr>
      </w:pPr>
      <w:r>
        <w:t xml:space="preserve">Without longitudinal data directly tracking microbiome aging in individuals with </w:t>
      </w:r>
      <w:proofErr w:type="spellStart"/>
      <w:r>
        <w:t>pMS</w:t>
      </w:r>
      <w:proofErr w:type="spellEnd"/>
      <w:r>
        <w:t xml:space="preserve">, we cannot conclusively say that </w:t>
      </w:r>
      <w:proofErr w:type="spellStart"/>
      <w:r>
        <w:t>pMS</w:t>
      </w:r>
      <w:proofErr w:type="spellEnd"/>
      <w:r>
        <w:t xml:space="preserve"> “drives” microbiome aging. More accurate to say </w:t>
      </w:r>
      <w:proofErr w:type="spellStart"/>
      <w:r>
        <w:t>pMS</w:t>
      </w:r>
      <w:proofErr w:type="spellEnd"/>
      <w:r>
        <w:t xml:space="preserve"> may intensify age-associate microbiome changes</w:t>
      </w:r>
    </w:p>
    <w:p w14:paraId="72570C5A" w14:textId="77777777" w:rsidR="00B269EB" w:rsidRDefault="00B269EB" w:rsidP="003D0814">
      <w:pPr>
        <w:pStyle w:val="ListParagraph"/>
        <w:numPr>
          <w:ilvl w:val="0"/>
          <w:numId w:val="3"/>
        </w:numPr>
      </w:pPr>
    </w:p>
    <w:p w14:paraId="68BBDFB6" w14:textId="7DCB10F9" w:rsidR="001B5870" w:rsidRDefault="00FA61E5">
      <w:proofErr w:type="spellStart"/>
      <w:r>
        <w:t>Verrucomicrobia</w:t>
      </w:r>
      <w:proofErr w:type="spellEnd"/>
    </w:p>
    <w:p w14:paraId="577A702E" w14:textId="7EB42B9E" w:rsidR="00FA61E5" w:rsidRDefault="00FA61E5" w:rsidP="00FA61E5">
      <w:pPr>
        <w:pStyle w:val="ListParagraph"/>
        <w:numPr>
          <w:ilvl w:val="0"/>
          <w:numId w:val="1"/>
        </w:numPr>
      </w:pPr>
      <w:r>
        <w:t>Mucin-degrading bacteria residing in the intestinal mucosa that contribute to intestinal health and glucose homeostasis</w:t>
      </w:r>
    </w:p>
    <w:p w14:paraId="7CF20658" w14:textId="38C125E8" w:rsidR="007A66B6" w:rsidRDefault="007A66B6" w:rsidP="00FA61E5">
      <w:pPr>
        <w:pStyle w:val="ListParagraph"/>
        <w:numPr>
          <w:ilvl w:val="0"/>
          <w:numId w:val="1"/>
        </w:numPr>
      </w:pPr>
      <w:r>
        <w:t xml:space="preserve">2 studies </w:t>
      </w:r>
      <w:r w:rsidR="000A52DB">
        <w:t>report</w:t>
      </w:r>
      <w:r>
        <w:t xml:space="preserve"> an increased abundance of </w:t>
      </w:r>
      <w:proofErr w:type="spellStart"/>
      <w:r>
        <w:t>Akkermansia</w:t>
      </w:r>
      <w:proofErr w:type="spellEnd"/>
      <w:r>
        <w:t xml:space="preserve">, belonging to the </w:t>
      </w:r>
      <w:proofErr w:type="spellStart"/>
      <w:r>
        <w:t>Verrucomicrobia</w:t>
      </w:r>
      <w:proofErr w:type="spellEnd"/>
      <w:r>
        <w:t xml:space="preserve"> phylum in MS patients</w:t>
      </w:r>
    </w:p>
    <w:p w14:paraId="0115257A" w14:textId="60FF8E6C" w:rsidR="007A66B6" w:rsidRDefault="007A66B6" w:rsidP="007A66B6">
      <w:pPr>
        <w:pStyle w:val="ListParagraph"/>
        <w:numPr>
          <w:ilvl w:val="1"/>
          <w:numId w:val="1"/>
        </w:numPr>
      </w:pPr>
      <w:r>
        <w:t>Role is st</w:t>
      </w:r>
      <w:r w:rsidR="000A52DB">
        <w:t>ill increas</w:t>
      </w:r>
      <w:r w:rsidR="00AA3B85">
        <w:t>e</w:t>
      </w:r>
    </w:p>
    <w:p w14:paraId="0D626B91" w14:textId="781F2573" w:rsidR="00AA3B85" w:rsidRDefault="00671B38" w:rsidP="00AA3B85">
      <w:hyperlink r:id="rId5" w:anchor="cit0002" w:history="1">
        <w:r w:rsidR="00AA3B85" w:rsidRPr="00671B38">
          <w:rPr>
            <w:rStyle w:val="Hyperlink"/>
          </w:rPr>
          <w:t>Citati</w:t>
        </w:r>
        <w:r w:rsidR="00AA3B85" w:rsidRPr="00671B38">
          <w:rPr>
            <w:rStyle w:val="Hyperlink"/>
          </w:rPr>
          <w:t>o</w:t>
        </w:r>
        <w:r w:rsidR="00AA3B85" w:rsidRPr="00671B38">
          <w:rPr>
            <w:rStyle w:val="Hyperlink"/>
          </w:rPr>
          <w:t>n</w:t>
        </w:r>
      </w:hyperlink>
      <w:r w:rsidR="003D0814">
        <w:t xml:space="preserve">- </w:t>
      </w:r>
      <w:r w:rsidR="003D0814" w:rsidRPr="003D0814">
        <w:t>https://pmc.ncbi.nlm.nih.gov/articles/PMC5730390/#cit0002</w:t>
      </w:r>
    </w:p>
    <w:p w14:paraId="45EB46F7" w14:textId="3FFF496F" w:rsidR="00AA3B85" w:rsidRDefault="00AA3B85" w:rsidP="00AA3B85">
      <w:pPr>
        <w:pStyle w:val="ListParagraph"/>
        <w:numPr>
          <w:ilvl w:val="0"/>
          <w:numId w:val="1"/>
        </w:numPr>
      </w:pPr>
      <w:proofErr w:type="spellStart"/>
      <w:r>
        <w:t>Dorea</w:t>
      </w:r>
      <w:proofErr w:type="spellEnd"/>
      <w:r>
        <w:t>: pro or anti-inflammatory depending on surrounding gut bacteria and/or available nutrients</w:t>
      </w:r>
    </w:p>
    <w:p w14:paraId="03784617" w14:textId="7157E5F3" w:rsidR="00AA3B85" w:rsidRDefault="00AA3B85" w:rsidP="00AA3B85">
      <w:pPr>
        <w:pStyle w:val="ListParagraph"/>
        <w:numPr>
          <w:ilvl w:val="1"/>
          <w:numId w:val="1"/>
        </w:numPr>
      </w:pPr>
      <w:proofErr w:type="spellStart"/>
      <w:r>
        <w:t>Blautia</w:t>
      </w:r>
      <w:proofErr w:type="spellEnd"/>
      <w:r>
        <w:t xml:space="preserve"> uses gases produced by </w:t>
      </w:r>
      <w:proofErr w:type="spellStart"/>
      <w:r>
        <w:t>Dorea</w:t>
      </w:r>
      <w:proofErr w:type="spellEnd"/>
    </w:p>
    <w:p w14:paraId="0E8C5350" w14:textId="05936F2A" w:rsidR="00AA3B85" w:rsidRDefault="00AA3B85" w:rsidP="00AA3B85">
      <w:pPr>
        <w:pStyle w:val="ListParagraph"/>
        <w:numPr>
          <w:ilvl w:val="1"/>
          <w:numId w:val="1"/>
        </w:numPr>
      </w:pPr>
      <w:r>
        <w:t xml:space="preserve">Increased </w:t>
      </w:r>
      <w:proofErr w:type="spellStart"/>
      <w:r>
        <w:t>Dorea</w:t>
      </w:r>
      <w:proofErr w:type="spellEnd"/>
      <w:r>
        <w:t xml:space="preserve"> in MS may promote </w:t>
      </w:r>
      <w:proofErr w:type="spellStart"/>
      <w:r>
        <w:t>Blautia</w:t>
      </w:r>
      <w:proofErr w:type="spellEnd"/>
      <w:r>
        <w:t xml:space="preserve"> growth</w:t>
      </w:r>
    </w:p>
    <w:p w14:paraId="4ECE7B94" w14:textId="272B60B5" w:rsidR="00AA3B85" w:rsidRDefault="00C46A5A" w:rsidP="00AA3B85">
      <w:pPr>
        <w:pStyle w:val="ListParagraph"/>
        <w:numPr>
          <w:ilvl w:val="0"/>
          <w:numId w:val="1"/>
        </w:numPr>
      </w:pPr>
      <w:proofErr w:type="spellStart"/>
      <w:r>
        <w:t>Jangi</w:t>
      </w:r>
      <w:proofErr w:type="spellEnd"/>
      <w:r>
        <w:t xml:space="preserve"> et al. and </w:t>
      </w:r>
      <w:proofErr w:type="spellStart"/>
      <w:r>
        <w:t>Cekanaviciute</w:t>
      </w:r>
      <w:proofErr w:type="spellEnd"/>
      <w:r>
        <w:t xml:space="preserve"> et al. report higher abundance of </w:t>
      </w:r>
      <w:proofErr w:type="spellStart"/>
      <w:r>
        <w:t>Akkermansia</w:t>
      </w:r>
      <w:proofErr w:type="spellEnd"/>
    </w:p>
    <w:p w14:paraId="46FEA131" w14:textId="21A41CEC" w:rsidR="00C46A5A" w:rsidRDefault="00C46A5A" w:rsidP="00C46A5A">
      <w:pPr>
        <w:pStyle w:val="ListParagraph"/>
        <w:numPr>
          <w:ilvl w:val="1"/>
          <w:numId w:val="1"/>
        </w:numPr>
      </w:pPr>
      <w:r>
        <w:t>Promote expansion of pro-</w:t>
      </w:r>
      <w:proofErr w:type="spellStart"/>
      <w:r>
        <w:t>infammatory</w:t>
      </w:r>
      <w:proofErr w:type="spellEnd"/>
      <w:r>
        <w:t xml:space="preserve"> cytokines, higher abundance in MS studies</w:t>
      </w:r>
    </w:p>
    <w:p w14:paraId="16D8D84C" w14:textId="215780A3" w:rsidR="00C46A5A" w:rsidRDefault="00544E42" w:rsidP="00C46A5A">
      <w:pPr>
        <w:pStyle w:val="ListParagraph"/>
        <w:numPr>
          <w:ilvl w:val="1"/>
          <w:numId w:val="1"/>
        </w:numPr>
      </w:pPr>
      <w:proofErr w:type="spellStart"/>
      <w:r>
        <w:t>Dorea</w:t>
      </w:r>
      <w:proofErr w:type="spellEnd"/>
      <w:r>
        <w:t xml:space="preserve"> and </w:t>
      </w:r>
      <w:proofErr w:type="spellStart"/>
      <w:r>
        <w:t>Akkermansia</w:t>
      </w:r>
      <w:proofErr w:type="spellEnd"/>
      <w:r>
        <w:t xml:space="preserve"> can utilize a common pathway, such as mucin degradation to induce proinflammatory responses resulting in chronic inflammation in MS</w:t>
      </w:r>
    </w:p>
    <w:p w14:paraId="4A8ADD84" w14:textId="23303F0D" w:rsidR="00673BE2" w:rsidRDefault="00673BE2" w:rsidP="00673BE2">
      <w:pPr>
        <w:pStyle w:val="ListParagraph"/>
        <w:numPr>
          <w:ilvl w:val="0"/>
          <w:numId w:val="1"/>
        </w:numPr>
      </w:pPr>
      <w:r w:rsidRPr="00673BE2">
        <w:rPr>
          <w:b/>
          <w:bCs/>
        </w:rPr>
        <w:t>Mucin Degradation Pathway</w:t>
      </w:r>
      <w:r w:rsidRPr="00673BE2">
        <w:t xml:space="preserve">: </w:t>
      </w:r>
      <w:proofErr w:type="spellStart"/>
      <w:r w:rsidRPr="00673BE2">
        <w:t>Dorea</w:t>
      </w:r>
      <w:proofErr w:type="spellEnd"/>
      <w:r w:rsidRPr="00673BE2">
        <w:t xml:space="preserve"> and </w:t>
      </w:r>
      <w:proofErr w:type="spellStart"/>
      <w:r w:rsidRPr="00673BE2">
        <w:t>Akkermansia</w:t>
      </w:r>
      <w:proofErr w:type="spellEnd"/>
      <w:r w:rsidRPr="00673BE2">
        <w:t xml:space="preserve"> may utilize mucin degradation to drive pro-inflammatory responses, contributing to chronic inflammation and MS predisposition.</w:t>
      </w:r>
    </w:p>
    <w:p w14:paraId="46462A5E" w14:textId="613987CA" w:rsidR="0013562D" w:rsidRDefault="00671B38" w:rsidP="0013562D">
      <w:hyperlink r:id="rId6" w:anchor=":~:text=Interestingly%2C%206%2Dmonths%20old%20mice,Porphyromonadaceae%2C%20Mucispirillum%2C%20and%20Prevotellaceae." w:history="1">
        <w:r w:rsidR="0013562D" w:rsidRPr="00671B38">
          <w:rPr>
            <w:rStyle w:val="Hyperlink"/>
          </w:rPr>
          <w:t>Citation</w:t>
        </w:r>
      </w:hyperlink>
      <w:r w:rsidR="003D0814">
        <w:t>-</w:t>
      </w:r>
      <w:r w:rsidR="003D0814" w:rsidRPr="003D0814">
        <w:t xml:space="preserve"> </w:t>
      </w:r>
      <w:r w:rsidR="003D0814" w:rsidRPr="003D0814">
        <w:t>https://pmc.ncbi.nlm.nih.gov/articles/PMC7993679/#:~:text=Interestingly%2C%206%2Dmonths%20old%20mice,Porphyromonadaceae%2C%20Mucispirillum%2C%20and%20Prevotellaceae.</w:t>
      </w:r>
    </w:p>
    <w:p w14:paraId="4F12DCC8" w14:textId="40EFAC13" w:rsidR="0013562D" w:rsidRDefault="0013562D" w:rsidP="0013562D">
      <w:pPr>
        <w:pStyle w:val="ListParagraph"/>
        <w:numPr>
          <w:ilvl w:val="0"/>
          <w:numId w:val="1"/>
        </w:numPr>
      </w:pPr>
      <w:r>
        <w:t xml:space="preserve">Age-dependent increases in </w:t>
      </w:r>
      <w:proofErr w:type="spellStart"/>
      <w:r>
        <w:t>akkermansia</w:t>
      </w:r>
      <w:proofErr w:type="spellEnd"/>
    </w:p>
    <w:p w14:paraId="67DBA34E" w14:textId="079630A9" w:rsidR="00417ACD" w:rsidRDefault="00417ACD" w:rsidP="0013562D">
      <w:pPr>
        <w:pStyle w:val="ListParagraph"/>
        <w:numPr>
          <w:ilvl w:val="0"/>
          <w:numId w:val="1"/>
        </w:numPr>
      </w:pPr>
      <w:r>
        <w:t xml:space="preserve">Typically linked to health beneficial and </w:t>
      </w:r>
      <w:proofErr w:type="spellStart"/>
      <w:proofErr w:type="gramStart"/>
      <w:r>
        <w:t>anti inflammatory</w:t>
      </w:r>
      <w:proofErr w:type="spellEnd"/>
      <w:proofErr w:type="gramEnd"/>
      <w:r>
        <w:t xml:space="preserve"> effects, such as improving glucose homeostasis in diet-induced </w:t>
      </w:r>
      <w:proofErr w:type="spellStart"/>
      <w:r>
        <w:t>obecity</w:t>
      </w:r>
      <w:proofErr w:type="spellEnd"/>
      <w:r>
        <w:t xml:space="preserve"> and slowing progression of dextran sulfate sodium-induced colitis</w:t>
      </w:r>
    </w:p>
    <w:p w14:paraId="2B351C34" w14:textId="36536C0C" w:rsidR="00417ACD" w:rsidRDefault="00B3772E" w:rsidP="0013562D">
      <w:pPr>
        <w:pStyle w:val="ListParagraph"/>
        <w:numPr>
          <w:ilvl w:val="0"/>
          <w:numId w:val="1"/>
        </w:numPr>
      </w:pPr>
      <w:r>
        <w:t xml:space="preserve">Mucin </w:t>
      </w:r>
      <w:proofErr w:type="spellStart"/>
      <w:r>
        <w:t>degredation</w:t>
      </w:r>
      <w:proofErr w:type="spellEnd"/>
      <w:r>
        <w:t xml:space="preserve"> properties may exacerbate certain infection</w:t>
      </w:r>
    </w:p>
    <w:p w14:paraId="6D6EF9E5" w14:textId="02FA5F7E" w:rsidR="00671B38" w:rsidRDefault="00671B38" w:rsidP="00671B38">
      <w:r>
        <w:t>Citation</w:t>
      </w:r>
    </w:p>
    <w:p w14:paraId="33A0654B" w14:textId="033C8DAE" w:rsidR="00671B38" w:rsidRDefault="00102B12" w:rsidP="00671B38">
      <w:pPr>
        <w:pStyle w:val="ListParagraph"/>
        <w:numPr>
          <w:ilvl w:val="0"/>
          <w:numId w:val="1"/>
        </w:numPr>
      </w:pPr>
      <w:r>
        <w:t xml:space="preserve">Likely a high concentration of mucin in the BHI medium could stimulate </w:t>
      </w:r>
      <w:proofErr w:type="spellStart"/>
      <w:proofErr w:type="gramStart"/>
      <w:r>
        <w:t>A.muciniphila</w:t>
      </w:r>
      <w:proofErr w:type="spellEnd"/>
      <w:proofErr w:type="gramEnd"/>
      <w:r>
        <w:t xml:space="preserve"> to produce numerous glycoside </w:t>
      </w:r>
      <w:r w:rsidR="007D56A3">
        <w:t>hydrolases</w:t>
      </w:r>
    </w:p>
    <w:p w14:paraId="122163AF" w14:textId="2079A936" w:rsidR="00102B12" w:rsidRDefault="00102B12" w:rsidP="00102B12">
      <w:pPr>
        <w:pStyle w:val="ListParagraph"/>
        <w:numPr>
          <w:ilvl w:val="0"/>
          <w:numId w:val="2"/>
        </w:numPr>
      </w:pPr>
      <w:r>
        <w:t xml:space="preserve">Release of sialic acid from non-reducing ends is an initial step in </w:t>
      </w:r>
      <w:r w:rsidR="007D56A3">
        <w:t>the</w:t>
      </w:r>
      <w:r>
        <w:t xml:space="preserve"> </w:t>
      </w:r>
      <w:r w:rsidR="007D56A3">
        <w:t>s</w:t>
      </w:r>
      <w:r>
        <w:t xml:space="preserve">equential </w:t>
      </w:r>
      <w:r w:rsidR="007D56A3">
        <w:t>degradation</w:t>
      </w:r>
      <w:r>
        <w:t xml:space="preserve"> of mucins</w:t>
      </w:r>
    </w:p>
    <w:p w14:paraId="48C5224C" w14:textId="6E96AA70" w:rsidR="00102B12" w:rsidRDefault="00102B12" w:rsidP="00102B12">
      <w:pPr>
        <w:pStyle w:val="ListParagraph"/>
        <w:numPr>
          <w:ilvl w:val="0"/>
          <w:numId w:val="2"/>
        </w:numPr>
      </w:pPr>
      <w:r>
        <w:t xml:space="preserve">Mucin pore glycans were </w:t>
      </w:r>
      <w:r w:rsidR="007D56A3">
        <w:t>exposed to further enzymatic degradation for other glycoside hydrolases (b-hexosaminidase, b-galactosidase, a-L-</w:t>
      </w:r>
      <w:proofErr w:type="spellStart"/>
      <w:r w:rsidR="007D56A3">
        <w:t>fucosidase</w:t>
      </w:r>
      <w:proofErr w:type="spellEnd"/>
      <w:r w:rsidR="007D56A3">
        <w:t>)</w:t>
      </w:r>
    </w:p>
    <w:p w14:paraId="40CFCB50" w14:textId="5CE6FFD8" w:rsidR="007D56A3" w:rsidRDefault="007D56A3" w:rsidP="00102B12">
      <w:pPr>
        <w:pStyle w:val="ListParagraph"/>
        <w:numPr>
          <w:ilvl w:val="0"/>
          <w:numId w:val="2"/>
        </w:numPr>
      </w:pPr>
      <w:r>
        <w:t>Bacteria enter the PTS pathway for further energy metabolism and promote cell growth</w:t>
      </w:r>
    </w:p>
    <w:p w14:paraId="035E2AEF" w14:textId="6F2FB933" w:rsidR="005D01C9" w:rsidRDefault="005D01C9" w:rsidP="005D01C9">
      <w:pPr>
        <w:pStyle w:val="ListParagraph"/>
        <w:numPr>
          <w:ilvl w:val="0"/>
          <w:numId w:val="1"/>
        </w:numPr>
      </w:pPr>
      <w:r>
        <w:t xml:space="preserve">High mucin addition induced A. </w:t>
      </w:r>
      <w:proofErr w:type="spellStart"/>
      <w:r>
        <w:t>muciniphila</w:t>
      </w:r>
      <w:proofErr w:type="spellEnd"/>
      <w:r>
        <w:t xml:space="preserve"> to overexpress </w:t>
      </w:r>
      <w:proofErr w:type="spellStart"/>
      <w:r>
        <w:t>fucosidase</w:t>
      </w:r>
      <w:proofErr w:type="spellEnd"/>
      <w:r>
        <w:t>, B-galactosidase, hexosaminidase to degrade mucins into fucose, N-</w:t>
      </w:r>
      <w:proofErr w:type="spellStart"/>
      <w:r>
        <w:t>acetylgalactosamine</w:t>
      </w:r>
      <w:proofErr w:type="spellEnd"/>
      <w:r>
        <w:t>, and N-acetylglucosamine</w:t>
      </w:r>
    </w:p>
    <w:p w14:paraId="0B6E1281" w14:textId="7ACAD23A" w:rsidR="0078318D" w:rsidRDefault="0078318D" w:rsidP="005D01C9">
      <w:pPr>
        <w:pStyle w:val="ListParagraph"/>
        <w:numPr>
          <w:ilvl w:val="0"/>
          <w:numId w:val="1"/>
        </w:numPr>
      </w:pPr>
      <w:r>
        <w:t xml:space="preserve">Resulting oligosaccharides broken down to monosaccharides </w:t>
      </w:r>
      <w:r>
        <w:sym w:font="Wingdings" w:char="F0E0"/>
      </w:r>
      <w:r>
        <w:t>glycolysis</w:t>
      </w:r>
    </w:p>
    <w:p w14:paraId="7C2EB947" w14:textId="0DD5E498" w:rsidR="0078318D" w:rsidRDefault="0078318D" w:rsidP="005D01C9">
      <w:pPr>
        <w:pStyle w:val="ListParagraph"/>
        <w:numPr>
          <w:ilvl w:val="0"/>
          <w:numId w:val="1"/>
        </w:numPr>
      </w:pPr>
      <w:r>
        <w:t>High mucin addition upregulated genes involving nutrient uptake, cell growth, and cell morphology, probably regulating ATP production. Shows mucin-dependant growth by degrading mucin to maintain energy balance</w:t>
      </w:r>
    </w:p>
    <w:p w14:paraId="03287F45" w14:textId="15CA6235" w:rsidR="00B37990" w:rsidRDefault="00B37990" w:rsidP="00B37990">
      <w:r>
        <w:t>Caro’s thoughts</w:t>
      </w:r>
    </w:p>
    <w:p w14:paraId="5B756670" w14:textId="11CEBDCA" w:rsidR="00972ED2" w:rsidRDefault="00972ED2" w:rsidP="005D01C9">
      <w:pPr>
        <w:pStyle w:val="ListParagraph"/>
        <w:numPr>
          <w:ilvl w:val="0"/>
          <w:numId w:val="1"/>
        </w:numPr>
      </w:pPr>
      <w:r>
        <w:t>Genetic component that causes an individual to produce excess mucus??</w:t>
      </w:r>
    </w:p>
    <w:p w14:paraId="24F3EC9C" w14:textId="0F2C0C93" w:rsidR="00B37990" w:rsidRDefault="00B37990" w:rsidP="005D01C9">
      <w:pPr>
        <w:pStyle w:val="ListParagraph"/>
        <w:numPr>
          <w:ilvl w:val="0"/>
          <w:numId w:val="1"/>
        </w:numPr>
      </w:pPr>
      <w:r>
        <w:t xml:space="preserve">Immune system activation from something produced by </w:t>
      </w:r>
      <w:proofErr w:type="spellStart"/>
      <w:r>
        <w:t>Akkermansia</w:t>
      </w:r>
      <w:proofErr w:type="spellEnd"/>
      <w:r>
        <w:t xml:space="preserve"> or </w:t>
      </w:r>
      <w:r w:rsidR="00334347">
        <w:t>on the surface that is similar to myelin</w:t>
      </w:r>
    </w:p>
    <w:p w14:paraId="21D0346E" w14:textId="771E8C67" w:rsidR="00A00BE3" w:rsidRDefault="00A00BE3" w:rsidP="005D01C9">
      <w:pPr>
        <w:pStyle w:val="ListParagraph"/>
        <w:numPr>
          <w:ilvl w:val="0"/>
          <w:numId w:val="1"/>
        </w:numPr>
      </w:pPr>
      <w:r>
        <w:t>SCFA increases mucin production</w:t>
      </w:r>
      <w:r w:rsidR="00FE775C">
        <w:t xml:space="preserve">- </w:t>
      </w:r>
      <w:hyperlink r:id="rId7" w:history="1">
        <w:r w:rsidR="00FE775C" w:rsidRPr="00FE775C">
          <w:rPr>
            <w:rStyle w:val="Hyperlink"/>
          </w:rPr>
          <w:t>link</w:t>
        </w:r>
      </w:hyperlink>
    </w:p>
    <w:p w14:paraId="31EC8B4F" w14:textId="0B566735" w:rsidR="00FE775C" w:rsidRDefault="00D40EED" w:rsidP="00FE775C">
      <w:pPr>
        <w:pStyle w:val="ListParagraph"/>
        <w:numPr>
          <w:ilvl w:val="1"/>
          <w:numId w:val="1"/>
        </w:numPr>
      </w:pPr>
      <w:r>
        <w:t>SCFA can suppress demyelination and enhance remyelination in association with oligodendrocyte differentiation</w:t>
      </w:r>
    </w:p>
    <w:p w14:paraId="3A2EC21E" w14:textId="11903E28" w:rsidR="002B3792" w:rsidRDefault="002B3792" w:rsidP="005D01C9">
      <w:pPr>
        <w:pStyle w:val="ListParagraph"/>
        <w:numPr>
          <w:ilvl w:val="0"/>
          <w:numId w:val="1"/>
        </w:numPr>
      </w:pPr>
      <w:hyperlink r:id="rId8" w:history="1">
        <w:r w:rsidRPr="007C26BC">
          <w:rPr>
            <w:rStyle w:val="Hyperlink"/>
          </w:rPr>
          <w:t>https://www.frontiersin.org/journals/cellular-and-infection-microbiology/articles/10.3389/fcimb.2020.00248/full</w:t>
        </w:r>
      </w:hyperlink>
      <w:r>
        <w:t xml:space="preserve"> </w:t>
      </w:r>
    </w:p>
    <w:p w14:paraId="0220EA53" w14:textId="77777777" w:rsidR="003D0814" w:rsidRDefault="003D0814" w:rsidP="000A52DB">
      <w:pPr>
        <w:rPr>
          <w:b/>
          <w:bCs/>
        </w:rPr>
      </w:pPr>
    </w:p>
    <w:p w14:paraId="4DB52D53" w14:textId="79DF2F27" w:rsidR="000A52DB" w:rsidRDefault="003D0814" w:rsidP="000A52DB">
      <w:pPr>
        <w:rPr>
          <w:b/>
          <w:bCs/>
        </w:rPr>
      </w:pPr>
      <w:r>
        <w:rPr>
          <w:b/>
          <w:bCs/>
        </w:rPr>
        <w:t>References</w:t>
      </w:r>
    </w:p>
    <w:p w14:paraId="59514AEB" w14:textId="77777777" w:rsidR="003D0814" w:rsidRDefault="003D0814" w:rsidP="003D0814">
      <w:proofErr w:type="spellStart"/>
      <w:r w:rsidRPr="000A52DB">
        <w:lastRenderedPageBreak/>
        <w:t>Jangi</w:t>
      </w:r>
      <w:proofErr w:type="spellEnd"/>
      <w:r w:rsidRPr="000A52DB">
        <w:t xml:space="preserve"> S, Gandhi R, Cox LM, Li N, von </w:t>
      </w:r>
      <w:proofErr w:type="spellStart"/>
      <w:r w:rsidRPr="000A52DB">
        <w:t>Glehn</w:t>
      </w:r>
      <w:proofErr w:type="spellEnd"/>
      <w:r w:rsidRPr="000A52DB">
        <w:t xml:space="preserve"> F, Yan R, Patel B, Mazzola MA, Liu S, Glanz BL, </w:t>
      </w:r>
      <w:proofErr w:type="gramStart"/>
      <w:r w:rsidRPr="000A52DB">
        <w:t>et al..</w:t>
      </w:r>
      <w:proofErr w:type="gramEnd"/>
      <w:r w:rsidRPr="000A52DB">
        <w:t xml:space="preserve"> Alterations of the human gut microbiome in multiple sclerosis. Nat Commun 2016; 7:12015; PMID:27352007; https://doi.org/ 10.1038/ncomms12015</w:t>
      </w:r>
    </w:p>
    <w:p w14:paraId="1EB3FC35" w14:textId="77777777" w:rsidR="003D0814" w:rsidRDefault="003D0814" w:rsidP="003D0814">
      <w:proofErr w:type="spellStart"/>
      <w:r w:rsidRPr="000A52DB">
        <w:t>Cekanaviciute</w:t>
      </w:r>
      <w:proofErr w:type="spellEnd"/>
      <w:r w:rsidRPr="000A52DB">
        <w:t xml:space="preserve"> E, </w:t>
      </w:r>
      <w:proofErr w:type="spellStart"/>
      <w:r w:rsidRPr="000A52DB">
        <w:t>Debelius</w:t>
      </w:r>
      <w:proofErr w:type="spellEnd"/>
      <w:r w:rsidRPr="000A52DB">
        <w:t xml:space="preserve"> JW, Singh S, </w:t>
      </w:r>
      <w:proofErr w:type="spellStart"/>
      <w:r w:rsidRPr="000A52DB">
        <w:t>Runia</w:t>
      </w:r>
      <w:proofErr w:type="spellEnd"/>
      <w:r w:rsidRPr="000A52DB">
        <w:t xml:space="preserve"> T, Nelson C, Yoo B, </w:t>
      </w:r>
      <w:proofErr w:type="gramStart"/>
      <w:r w:rsidRPr="000A52DB">
        <w:t>et al..</w:t>
      </w:r>
      <w:proofErr w:type="gramEnd"/>
      <w:r w:rsidRPr="000A52DB">
        <w:t xml:space="preserve"> Gut dysbiosis is a feature of MS and it is characterized by bacteria able to regulate lymphocyte differentiation in vitro. 2016 European Committee for Treatment and Research in Multiple Sclerosis (ECTRIMS). London, 2016:147026.</w:t>
      </w:r>
    </w:p>
    <w:p w14:paraId="003701EB" w14:textId="77777777" w:rsidR="003D0814" w:rsidRPr="003D0814" w:rsidRDefault="003D0814" w:rsidP="000A52DB">
      <w:pPr>
        <w:rPr>
          <w:b/>
          <w:bCs/>
        </w:rPr>
      </w:pPr>
    </w:p>
    <w:p w14:paraId="01DAC44A" w14:textId="526F15D1" w:rsidR="000A52DB" w:rsidRDefault="000A52DB" w:rsidP="000A52DB"/>
    <w:sectPr w:rsidR="000A5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3C2FDF"/>
    <w:multiLevelType w:val="hybridMultilevel"/>
    <w:tmpl w:val="8CD67500"/>
    <w:lvl w:ilvl="0" w:tplc="0A220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97223"/>
    <w:multiLevelType w:val="hybridMultilevel"/>
    <w:tmpl w:val="4B0ED1BE"/>
    <w:lvl w:ilvl="0" w:tplc="0E985C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311B"/>
    <w:multiLevelType w:val="hybridMultilevel"/>
    <w:tmpl w:val="33362058"/>
    <w:lvl w:ilvl="0" w:tplc="ACD604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5502">
    <w:abstractNumId w:val="0"/>
  </w:num>
  <w:num w:numId="2" w16cid:durableId="300161067">
    <w:abstractNumId w:val="2"/>
  </w:num>
  <w:num w:numId="3" w16cid:durableId="935599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E5"/>
    <w:rsid w:val="00057B4A"/>
    <w:rsid w:val="00077235"/>
    <w:rsid w:val="000A52DB"/>
    <w:rsid w:val="00102B12"/>
    <w:rsid w:val="0013562D"/>
    <w:rsid w:val="00177F38"/>
    <w:rsid w:val="00183D5E"/>
    <w:rsid w:val="001B5870"/>
    <w:rsid w:val="002B3792"/>
    <w:rsid w:val="00334347"/>
    <w:rsid w:val="003D0814"/>
    <w:rsid w:val="003D47FD"/>
    <w:rsid w:val="00417ACD"/>
    <w:rsid w:val="004C64F1"/>
    <w:rsid w:val="00544E42"/>
    <w:rsid w:val="005D01C9"/>
    <w:rsid w:val="00671B38"/>
    <w:rsid w:val="00673BE2"/>
    <w:rsid w:val="0078318D"/>
    <w:rsid w:val="007A24DE"/>
    <w:rsid w:val="007A66B6"/>
    <w:rsid w:val="007D56A3"/>
    <w:rsid w:val="00896BF0"/>
    <w:rsid w:val="00972ED2"/>
    <w:rsid w:val="00A00BE3"/>
    <w:rsid w:val="00A44BB5"/>
    <w:rsid w:val="00A52F71"/>
    <w:rsid w:val="00AA3B85"/>
    <w:rsid w:val="00B269EB"/>
    <w:rsid w:val="00B3772E"/>
    <w:rsid w:val="00B37990"/>
    <w:rsid w:val="00C46A5A"/>
    <w:rsid w:val="00D40EED"/>
    <w:rsid w:val="00EE20DE"/>
    <w:rsid w:val="00EF1811"/>
    <w:rsid w:val="00FA61E5"/>
    <w:rsid w:val="00FE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5229"/>
  <w15:chartTrackingRefBased/>
  <w15:docId w15:val="{31332ADC-24F9-AC48-BB61-9BF1995A0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6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1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1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1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1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1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1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1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6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1E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1E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1E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1E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1E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1E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1E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6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1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61E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6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6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6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61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1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61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1B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B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ontiersin.org/journals/cellular-and-infection-microbiology/articles/10.3389/fcimb.2020.00248/fu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library.wiley.com/doi/full/10.1111/ane.130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mc.ncbi.nlm.nih.gov/articles/PMC7993679/" TargetMode="External"/><Relationship Id="rId5" Type="http://schemas.openxmlformats.org/officeDocument/2006/relationships/hyperlink" Target="https://pmc.ncbi.nlm.nih.gov/articles/PMC573039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You, Carolyne</dc:creator>
  <cp:keywords/>
  <dc:description/>
  <cp:lastModifiedBy>You, Carolyne</cp:lastModifiedBy>
  <cp:revision>3</cp:revision>
  <dcterms:created xsi:type="dcterms:W3CDTF">2024-12-01T03:33:00Z</dcterms:created>
  <dcterms:modified xsi:type="dcterms:W3CDTF">2024-12-01T05:11:00Z</dcterms:modified>
</cp:coreProperties>
</file>