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pPr>
      <w:r>
        <w:rPr>
          <w:rFonts w:ascii="Cambria" w:hAnsi="Cambria"/>
          <w:b/>
          <w:i w:val="0"/>
          <w:color w:val="22252B"/>
          <w:sz w:val="60"/>
        </w:rPr>
        <w:t>Mihenk Veri Platformu</w:t>
      </w:r>
    </w:p>
    <w:p>
      <w:pPr>
        <w:spacing w:after="360"/>
      </w:pPr>
      <w:r>
        <w:rPr>
          <w:rFonts w:ascii="Cambria" w:hAnsi="Cambria"/>
          <w:b w:val="0"/>
          <w:i w:val="0"/>
          <w:color w:val="A84E1F"/>
          <w:sz w:val="34"/>
        </w:rPr>
        <w:t>Proje yapım aşaması</w:t>
      </w:r>
    </w:p>
    <w:p>
      <w:r>
        <w:rPr>
          <w:b w:val="0"/>
          <w:i w:val="0"/>
          <w:color w:val="606670"/>
          <w:sz w:val="23"/>
        </w:rPr>
        <w:t>Microsoft Fabric üzerinde madalyon mimarisiyle kurulmuş, bir otomotiv distribütörü için uçtan uca veri platformu: kaynak veri üretiminden Power BI raporuna kadar her adımın nasıl kurulduğu, neden öyle kurulduğu ve yol boyunca nelerin kırıldığı.</w:t>
      </w:r>
    </w:p>
    <w:p/>
    <w:p>
      <w:pPr>
        <w:spacing w:before="40" w:after="200"/>
        <w:pBdr>
          <w:bottom w:val="single" w:sz="6" w:color="D8D5CF"/>
        </w:pBdr>
      </w:pPr>
    </w:p>
    <w:p>
      <w:pPr>
        <w:spacing w:after="40"/>
      </w:pPr>
      <w:r>
        <w:rPr>
          <w:b/>
          <w:i w:val="0"/>
        </w:rPr>
        <w:t>Burak Önce</w:t>
      </w:r>
    </w:p>
    <w:p>
      <w:r>
        <w:rPr>
          <w:b w:val="0"/>
          <w:i w:val="0"/>
          <w:color w:val="606670"/>
          <w:sz w:val="21"/>
        </w:rPr>
        <w:t>Eylül 2026</w:t>
      </w:r>
    </w:p>
    <w:p>
      <w:r>
        <w:br w:type="page"/>
      </w:r>
    </w:p>
    <w:p>
      <w:pPr>
        <w:pStyle w:val="Heading1"/>
      </w:pPr>
      <w:r>
        <w:t>1. Bu proje ne, neden böyle kurdum</w:t>
      </w:r>
    </w:p>
    <w:p>
      <w:r>
        <w:rPr>
          <w:b w:val="0"/>
          <w:i w:val="0"/>
        </w:rPr>
        <w:t>Elimde iki seçenek vardı: hazır bir veri setini indirip üzerine rapor yazmak ya da işin tamamını, verinin doğduğu yerden rapordaki sayıya kadar kendim kurmak. İkincisini seçtim, çünkü bir veri platformunun zor kısmı rapor değil; verinin kaynaktan çıkarken nasıl göründüğü, yolda neyin bozulduğu ve bozulanı nasıl fark ettiğiniz.</w:t>
      </w:r>
    </w:p>
    <w:p>
      <w:r>
        <w:rPr>
          <w:b w:val="0"/>
          <w:i w:val="0"/>
        </w:rPr>
        <w:t>Alan olarak otomotiv distribütörlüğünü seçtim ve bu bilinçli bir tercihti. Bu işte gerçekten zor üç modelleme problemi var:</w:t>
      </w:r>
    </w:p>
    <w:p>
      <w:pPr>
        <w:pStyle w:val="ListBullet"/>
        <w:spacing w:after="80"/>
      </w:pPr>
      <w:r>
        <w:rPr>
          <w:b/>
        </w:rPr>
        <w:t xml:space="preserve">VIN (şase numarası) </w:t>
      </w:r>
      <w:r>
        <w:t>aynı anda hem bir varlık hem de el değiştiren bir nesne. Aracı bugün kimin kullandığı ile 2023'te kimin kullandığı farklı sorular ve ikisinin de cevabı lazım.</w:t>
      </w:r>
    </w:p>
    <w:p>
      <w:pPr>
        <w:pStyle w:val="ListBullet"/>
        <w:spacing w:after="80"/>
      </w:pPr>
      <w:r>
        <w:rPr>
          <w:b/>
        </w:rPr>
        <w:t xml:space="preserve">İş emri </w:t>
      </w:r>
      <w:r>
        <w:t>tek bir işlem değil, aşamaları olan uzun bir süreç: randevu, araç kabul, ekspertiz, parça bekleme, onarım, kalite kontrol, teslim. Asıl bilgi aşamaların kendisinde değil, aralarındaki boşluklarda.</w:t>
      </w:r>
    </w:p>
    <w:p>
      <w:pPr>
        <w:pStyle w:val="ListBullet"/>
        <w:spacing w:after="80"/>
      </w:pPr>
      <w:r>
        <w:rPr>
          <w:b/>
        </w:rPr>
        <w:t xml:space="preserve">Garanti talebi </w:t>
      </w:r>
      <w:r>
        <w:t>satışı yapan sistemin dışında, ikinci bir onay sürecine bağlı. Talep edilen tutar ile onaylanan tutar farklı ve bu fark bir iş metriği.</w:t>
      </w:r>
    </w:p>
    <w:p>
      <w:r>
        <w:rPr>
          <w:b w:val="0"/>
          <w:i w:val="0"/>
        </w:rPr>
        <w:t>Bunların hepsi "veriyi al, topla, göster"in ötesinde düşünmeyi gerektiriyor. Kaggle'dan indirilen temiz bir CSV'de bu problemlerin hiçbiri yok.</w:t>
      </w:r>
    </w:p>
    <w:p>
      <w:r>
        <w:rPr>
          <w:b w:val="0"/>
          <w:i w:val="0"/>
        </w:rPr>
        <w:t>Platformun adı Mihenk. Mihenk taşı, altının saflığını ölçmek için kullanılan koyu renkli taş. Projenin tezi de bu: ham veri, neye karşı ölçüldüğü kadar değerli. Bu yüzden veri kalitesi projede sonradan eklenen bir kontrol listesi değil, mimarinin kendi katmanı.</w:t>
      </w:r>
    </w:p>
    <w:p>
      <w:pPr>
        <w:pStyle w:val="Heading1"/>
      </w:pPr>
      <w:r>
        <w:t>2. Veriyi neden kendim ürettim</w:t>
      </w:r>
    </w:p>
    <w:p>
      <w:r>
        <w:rPr>
          <w:b w:val="0"/>
          <w:i w:val="0"/>
        </w:rPr>
        <w:t>Altı kaynak sistemin verisini Python ile ürettim: DMS (bayi yönetim sistemi), CRM, servis (workshop), yedek parça, distribütör portalı ve finans. Toplam 17 veri varlığı, 2.326 dosya, yaklaşık 150 MB, üç farklı formatta — CSV, JSON/JSONL ve XLSX.</w:t>
      </w:r>
    </w:p>
    <w:p>
      <w:r>
        <w:rPr>
          <w:b w:val="0"/>
          <w:i w:val="0"/>
        </w:rPr>
        <w:t>Hazır veri yerine üretmenin üç somut sebebi vardı.</w:t>
      </w:r>
    </w:p>
    <w:p>
      <w:pPr>
        <w:pStyle w:val="Heading3"/>
      </w:pPr>
      <w:r>
        <w:t>Gerçekçi bozukluğu ancak kendim koyabilirdim</w:t>
      </w:r>
    </w:p>
    <w:p>
      <w:r>
        <w:rPr>
          <w:b w:val="0"/>
          <w:i w:val="0"/>
        </w:rPr>
        <w:t>Gerçek hayatta veri temiz gelmez. DMS dosyalarını Türkçe karakterleri bozmasın diye windows-1254 kodlamasıyla yazdım — çünkü Türkiye'deki eski sistemler gerçekten böyle yazıyor. Tarihleri bilerek karıştırdım: aynı sütunda hem 2025-03-14 hem 14.03.2025. Tutarları Türkçe ondalık ayracıyla, virgüllü yazdım. Bunlar rastgele bozukluk değil, bu ülkede gerçekten karşılaşılan bozukluklar.</w:t>
      </w:r>
    </w:p>
    <w:p>
      <w:pPr>
        <w:pStyle w:val="Heading3"/>
      </w:pPr>
      <w:r>
        <w:t>Kasıtlı kusurun bir cevap anahtarı olabilirdi</w:t>
      </w:r>
    </w:p>
    <w:p>
      <w:r>
        <w:rPr>
          <w:b w:val="0"/>
          <w:i w:val="0"/>
        </w:rPr>
        <w:t>Geçersiz VIN, geri giden kilometre, öksüz parça numarası, aynı araca ikinci bir sıfır satışı gibi kusurları oranı ayarlanabilir şekilde enjekte ettim. Ama asıl mesele şu: her enjeksiyonu bir log dosyasına yazdım — hangi varlık, hangi iş anahtarı, hangi sütun, öncesi, sonrası ve onu yakalaması gereken kural kodu.</w:t>
      </w:r>
    </w:p>
    <w:p>
      <w:r>
        <w:rPr>
          <w:b w:val="0"/>
          <w:i w:val="0"/>
        </w:rPr>
        <w:t>Bu log sayesinde "veri kalitesi kuralları yazdım" cümlesi "yazdığım kuralların kaçını yakaladığını ölçtüm" cümlesine dönüşüyor. Aradaki fark, bir iddia ile bir ölçüm arasındaki fark.</w:t>
      </w:r>
    </w:p>
    <w:p>
      <w:pPr>
        <w:pStyle w:val="Heading3"/>
      </w:pPr>
      <w:r>
        <w:t>Tekrar üretilebilirlik iddiasını test edebilirdim</w:t>
      </w:r>
    </w:p>
    <w:p>
      <w:r>
        <w:rPr>
          <w:b w:val="0"/>
          <w:i w:val="0"/>
        </w:rPr>
        <w:t>Aynı seed ile çalıştırıldığında jeneratörün byte düzeyinde aynı veriyi üretmesi gerekiyordu. Bunu varsaymak yerine test yazdım: jeneratörü iki ayrı klasöre çalıştırıp her dosyayı byte byte karşılaştıran bir script.</w:t>
      </w:r>
    </w:p>
    <w:p>
      <w:r>
        <w:rPr>
          <w:b w:val="0"/>
          <w:i w:val="0"/>
        </w:rPr>
        <w:t>İlk çalıştırmada 2.275 dosyanın 2.274'ü eşleşti. Eşleşmeyen tek dosya Excel çıktısıydı — bir .xlsx aslında bir ZIP arşivi ve hem arşiv başlıkları hem de openpyxl'in yazdığı docProps/core.xml içinde o anki saat var. İkisini de sabit bir tarihe sabitledim. O testi yazmasaydım, platformdaki tek tekrar üretilemez dosya sessizce Excel dosyası olarak kalacaktı.</w:t>
      </w:r>
    </w:p>
    <w:p>
      <w:pPr>
        <w:pStyle w:val="Heading1"/>
      </w:pPr>
      <w:r>
        <w:t>3. Madalyon mimarisi</w:t>
      </w:r>
    </w:p>
    <w:p>
      <w:r>
        <w:rPr>
          <w:b w:val="0"/>
          <w:i w:val="0"/>
        </w:rPr>
        <w:t>Madalyon mimarisi, veriyi üç katmandan geçirerek her adımda biraz daha kullanılabilir hâle getirme yaklaşımı. İsimler madalya renklerinden geliyor: bronz, gümüş, altın. Temel fikir, her katmanın tek bir sorumluluğunun olması.</w:t>
      </w:r>
    </w:p>
    <w:p>
      <w:r>
        <w:rPr>
          <w:b w:val="0"/>
          <w:i w:val="0"/>
        </w:rPr>
        <w:t>Bunun pratikteki karşılığı şu: bir sayı raporda yanlış göründüğünde hangi katmanda baktığınızı bilirsiniz. Rakam kaynakta mı yanlış geldi, temizlerken mi bozuldu, yoksa modellerken mi? Tek katmanlı bir tasarımda bu sorunun cevabı yok, çünkü ham hâli çoktan kaybolmuş oluyor.</w:t>
      </w:r>
    </w:p>
    <w:p>
      <w:pPr>
        <w:pStyle w:val="Heading2"/>
      </w:pPr>
      <w:r>
        <w:t>3.1. Bronze — ham ve değişmez</w:t>
      </w:r>
    </w:p>
    <w:p>
      <w:r>
        <w:rPr>
          <w:b w:val="0"/>
          <w:i w:val="0"/>
        </w:rPr>
        <w:t>Bronze katmanı kaynak dosyayı olduğu gibi alır. Tip dönüşümü yok, temizlik yok, iş kuralı yok. Her şey metin olarak durur, üstüne sadece denetim (audit) sütunları eklenir: hangi dosyadan geldi, ne zaman yüklendi, hangi batch'e ait.</w:t>
      </w:r>
    </w:p>
    <w:p>
      <w:r>
        <w:rPr>
          <w:b w:val="0"/>
          <w:i w:val="0"/>
        </w:rPr>
        <w:t>Neden hiç dokunulmuyor? Çünkü Bronze, kaynak sistemin o gün nasıl göründüğünün kaydı. Kaynak sistem kaydı silse bile bizde duruyor. Silver'da bir hata yaptığımızı üç ay sonra fark ettiğimizde, düzeltilmiş mantıkla Bronze'dan yeniden üretebiliyoruz. Bronze'a dokunulsaydı, geri dönülecek bir yer kalmazdı.</w:t>
      </w:r>
    </w:p>
    <w:p>
      <w:r>
        <w:rPr>
          <w:b w:val="0"/>
          <w:i w:val="0"/>
        </w:rPr>
        <w:t>Bu projede Bronze'a 17 kaynaktan toplam 1.066.933 satır yüklendi. Yükleme işini yapan pipeline'ın hiçbir kaynağın adını bilmemesi özellikle önemli:</w:t>
      </w:r>
    </w:p>
    <w:p>
      <w:pPr>
        <w:spacing w:before="80" w:after="200" w:line="252" w:lineRule="auto"/>
        <w:ind w:left="360"/>
        <w:shd w:val="clear" w:fill="F4F2EE"/>
      </w:pPr>
      <w:r>
        <w:rPr>
          <w:rFonts w:ascii="Consolas" w:hAnsi="Consolas"/>
          <w:color w:val="333A45"/>
          <w:sz w:val="19"/>
        </w:rPr>
        <w:t>ctl.source_config</w:t>
        <w:br/>
        <w:t xml:space="preserve">  source_id | source_system | entity | target_table | file_pattern</w:t>
        <w:br/>
        <w:t xml:space="preserve">  encoding  | delimiter | load_type | watermark_column | load_order</w:t>
      </w:r>
    </w:p>
    <w:p>
      <w:r>
        <w:rPr>
          <w:b w:val="0"/>
          <w:i w:val="0"/>
        </w:rPr>
        <w:t>Pipeline bu tabloyu okuyup satır satır dönüyor. Dosya deseni, formatı, kodlaması, yükleme tipi ve artımlı yükleme için kullanılacak watermark sütunu — hepsi veri, hiçbiri kod. Yedinci bir kaynak sistem eklemek istediğimde yazacağım şey yeni bir notebook değil, bu tabloya bir satır.</w:t>
      </w:r>
    </w:p>
    <w:p>
      <w:r>
        <w:rPr>
          <w:b w:val="0"/>
          <w:i w:val="0"/>
        </w:rPr>
        <w:t>İki tasarım kararı burada özellikle savunulabilir olmalı:</w:t>
      </w:r>
    </w:p>
    <w:p>
      <w:pPr>
        <w:pStyle w:val="ListBullet"/>
        <w:spacing w:after="80"/>
      </w:pPr>
      <w:r>
        <w:rPr>
          <w:b/>
        </w:rPr>
        <w:t xml:space="preserve">Kaynaklar sırayla işleniyor. </w:t>
      </w:r>
      <w:r>
        <w:t>Paralel çalıştırmak daha hızlı olurdu ama yanlış olurdu. load_order sütunu ana veriyi (bayi, personel, model) ona referans veren hareketlerin (satış, iş emri) önüne koyuyor; paralellik bu sırayı yok eder.</w:t>
      </w:r>
    </w:p>
    <w:p>
      <w:pPr>
        <w:pStyle w:val="ListBullet"/>
        <w:spacing w:after="80"/>
      </w:pPr>
      <w:r>
        <w:rPr>
          <w:b/>
        </w:rPr>
        <w:t xml:space="preserve">Watermark en sona yazılıyor. </w:t>
      </w:r>
      <w:r>
        <w:t>Notebook satırları okuyup bitirdiğinde değil, satırlar yazıldıktan ve loglandıktan sonra. Ortada çöken bir çalıştırma eski watermark'ı bırakır, bir sonraki çalıştırma aynı pencereyi yeniden okur. Bronze kendi batch'ini silip yeniden yazdığı için tekrar okumak zararsız. Atlamak ise satır kaybı demek — ve iki kötü seçenek arasında her zaman tekrar eden işi seçmek gerekir.</w:t>
      </w:r>
    </w:p>
    <w:p>
      <w:pPr>
        <w:pStyle w:val="Heading2"/>
      </w:pPr>
      <w:r>
        <w:t>3.2. Silver — temiz, tekilleştirilmiş, tek gerçek</w:t>
      </w:r>
    </w:p>
    <w:p>
      <w:r>
        <w:rPr>
          <w:b w:val="0"/>
          <w:i w:val="0"/>
        </w:rPr>
        <w:t>Silver katmanında veri okunabilir hâle geliyor: metin sütunları gerçek tiplerine dönüşüyor, tarihler ayrıştırılıyor, tutarlar TRY'ye çevriliyor, kişisel veriler maskeleniyor ve hash'leniyor, mükerrer kayıtlar iş anahtarına göre tekilleştiriliyor.</w:t>
      </w:r>
    </w:p>
    <w:p>
      <w:r>
        <w:rPr>
          <w:b w:val="0"/>
          <w:i w:val="0"/>
        </w:rPr>
        <w:t>Birkaç ayrıntı burada önemliydi:</w:t>
      </w:r>
    </w:p>
    <w:p>
      <w:pPr>
        <w:pStyle w:val="ListBullet"/>
        <w:spacing w:after="80"/>
      </w:pPr>
      <w:r>
        <w:rPr>
          <w:b/>
        </w:rPr>
        <w:t xml:space="preserve">Döviz forward fill. </w:t>
      </w:r>
      <w:r>
        <w:t>Kur tablosunda hafta sonu ve tatil günleri yok. Cumartesi imzalanan bir sözleşmenin kendi kuru yok; Silver son yayınlanan kuru ileriye doğru taşıyor. Bunu yapmazsam o sözleşmenin TRY tutarı boş kalır ve raporda hiçbir yerde hata görünmeden eksilir.</w:t>
      </w:r>
    </w:p>
    <w:p>
      <w:pPr>
        <w:pStyle w:val="ListBullet"/>
        <w:spacing w:after="80"/>
      </w:pPr>
      <w:r>
        <w:rPr>
          <w:b/>
        </w:rPr>
        <w:t xml:space="preserve">PII maskeleme. </w:t>
      </w:r>
      <w:r>
        <w:t>TCKN ve telefon Bronze'da açık duruyor, Silver'da hem hash'li hem maskeli hâlleri üretiliyor. Hash eşleştirme için, maskeli hâl insan okuması için. Plaka maskelemesi harf kısmını *** yapıyor ama il kodunu koruyor — çünkü il bilgisi bölgesel analiz için gerçekten lazım, plakanın kendisi değil.</w:t>
      </w:r>
    </w:p>
    <w:p>
      <w:pPr>
        <w:pStyle w:val="ListBullet"/>
        <w:spacing w:after="80"/>
      </w:pPr>
      <w:r>
        <w:rPr>
          <w:b/>
        </w:rPr>
        <w:t xml:space="preserve">İdempotentlik. </w:t>
      </w:r>
      <w:r>
        <w:t>İkinci kez çalıştırıldığında eklenen ve güncellenen satır sayısı sıfır olmalı. Notebook bunu kendisi test ediyor: tüm yüklemeyi bir kez daha yapıp inserted ve updated sayılarının sıfır olduğunu doğruluyor.</w:t>
      </w:r>
    </w:p>
    <w:p>
      <w:pPr>
        <w:pStyle w:val="Heading3"/>
      </w:pPr>
      <w:r>
        <w:t>MDM — aynı kişiyi birleştirmek</w:t>
      </w:r>
    </w:p>
    <w:p>
      <w:r>
        <w:rPr>
          <w:b w:val="0"/>
          <w:i w:val="0"/>
        </w:rPr>
        <w:t>Projenin en zor tek parçası buydu. DMS'te 21 bin, CRM'de 20 bin müşteri kaydı var ve önemli bir kısmı aynı insanlar. Ama aynı insan iki sistemde aynı yazılmamış: isim kısaltılmış, telefon formatı farklı, TCKN çoğu CRM kaydında hiç yok.</w:t>
      </w:r>
    </w:p>
    <w:p>
      <w:r>
        <w:rPr>
          <w:b w:val="0"/>
          <w:i w:val="0"/>
        </w:rPr>
        <w:t>Her kaydı her kayıtla karşılaştırmak 425 milyon karşılaştırma demek. Bu bir "sonra optimize ederiz" problemi değil, notebook'un bitip bitmemesi meselesi. Çözüm blocking: kayıtları önce ucuz anahtarlarla gruplayıp sadece aynı gruptakileri karşılaştırmak. Dört blocking anahtarı seçtim — TCKN hash'i, telefon, e-posta ve isim öneki + şehir — ve bunları bilerek farklı şekillerde başarısız olacak şekilde seçtim ki birinin kaçırdığını diğeri yakalasın.</w:t>
      </w:r>
    </w:p>
    <w:p>
      <w:r>
        <w:rPr>
          <w:b w:val="0"/>
          <w:i w:val="0"/>
        </w:rPr>
        <w:t>Eşleşme skorunu 55 eşiğine koydum. Bu eşik keyfi değil: tek bir zayıf sinyalin eşleşmeye yetmemesi için seçildi. TCKN tek başına (60) geçiyor; telefon (30) artı birebir aynı isim (25) geçiyor; ortak şehir ve benzer isim (20) geçmiyor. En kritik kural ise müşteri tipi uyuşmazlığının −40 olması: bir şahıs ile bir şahıs şirketi aynı telefonu ve adresi rutin olarak paylaşır ve bunları birleştirmek her segmentasyonu bozar.</w:t>
      </w:r>
    </w:p>
    <w:p>
      <w:r>
        <w:rPr>
          <w:b w:val="0"/>
          <w:i w:val="0"/>
        </w:rPr>
        <w:t>Sonuç: 26.235 altın müşteri kaydı, bunların 14.410'u her iki sistemde de var. Eşleştirici bilinçli olarak muhafazakâr — iki kayıt gerçekten birbirine çok benziyorsa tahmin etmek yerine hiçbirini eşleştirmiyor. Yanlış birleştirme iki insanın satın alma geçmişini sessizce birleştirir ve sonradan fark edilmesi neredeyse imkânsızdır; kaçırılan birleştirme ise mükerrer kayıt olarak zaten görünür.</w:t>
      </w:r>
    </w:p>
    <w:p>
      <w:pPr>
        <w:pStyle w:val="Heading2"/>
      </w:pPr>
      <w:r>
        <w:t>3.3. Gold — iş sorusunun şekli</w:t>
      </w:r>
    </w:p>
    <w:p>
      <w:r>
        <w:rPr>
          <w:b w:val="0"/>
          <w:i w:val="0"/>
        </w:rPr>
        <w:t>Gold katmanı artık kaynak sistemin değil, iş sorusunun şekline göre kurulu. Yıldız şema: ortada ölçümleri tutan fact tabloları, etraflarında "hangi" sorusunu cevaplayan boyut (dimension) tabloları.</w:t>
      </w:r>
    </w:p>
    <w:p>
      <w:r>
        <w:rPr>
          <w:b w:val="0"/>
          <w:i w:val="0"/>
        </w:rPr>
        <w:t>Bu katmanda 10 boyut, 7 fact ve 3 özet (aggregate) tablosu var. Yüklenen satır sayıları:</w:t>
      </w:r>
    </w:p>
    <w:tbl>
      <w:tblPr>
        <w:tblStyle w:val="TableGrid"/>
        <w:tblW w:type="auto" w:w="0"/>
        <w:tblLayout w:type="fixed"/>
        <w:tblLook w:firstColumn="1" w:firstRow="1" w:lastColumn="0" w:lastRow="0" w:noHBand="0" w:noVBand="1" w:val="04A0"/>
      </w:tblPr>
      <w:tblGrid>
        <w:gridCol w:w="3024"/>
        <w:gridCol w:w="3024"/>
        <w:gridCol w:w="3024"/>
      </w:tblGrid>
      <w:tr>
        <w:tc>
          <w:tcPr>
            <w:tcW w:type="dxa" w:w="3168"/>
            <w:shd w:val="clear" w:fill="EFEDE8"/>
          </w:tcPr>
          <w:p>
            <w:pPr>
              <w:spacing w:after="40"/>
            </w:pPr>
            <w:r/>
            <w:r>
              <w:rPr>
                <w:b/>
                <w:color w:val="22252B"/>
                <w:sz w:val="20"/>
              </w:rPr>
              <w:t>Tablo</w:t>
            </w:r>
          </w:p>
        </w:tc>
        <w:tc>
          <w:tcPr>
            <w:tcW w:type="dxa" w:w="1584"/>
            <w:shd w:val="clear" w:fill="EFEDE8"/>
          </w:tcPr>
          <w:p>
            <w:pPr>
              <w:spacing w:after="40"/>
            </w:pPr>
            <w:r/>
            <w:r>
              <w:rPr>
                <w:b/>
                <w:color w:val="22252B"/>
                <w:sz w:val="20"/>
              </w:rPr>
              <w:t>Satır</w:t>
            </w:r>
          </w:p>
        </w:tc>
        <w:tc>
          <w:tcPr>
            <w:tcW w:type="dxa" w:w="4320"/>
            <w:shd w:val="clear" w:fill="EFEDE8"/>
          </w:tcPr>
          <w:p>
            <w:pPr>
              <w:spacing w:after="40"/>
            </w:pPr>
            <w:r/>
            <w:r>
              <w:rPr>
                <w:b/>
                <w:color w:val="22252B"/>
                <w:sz w:val="20"/>
              </w:rPr>
              <w:t>Ne tutuyor</w:t>
            </w:r>
          </w:p>
        </w:tc>
      </w:tr>
      <w:tr>
        <w:tc>
          <w:tcPr>
            <w:tcW w:type="dxa" w:w="3168"/>
          </w:tcPr>
          <w:p>
            <w:pPr>
              <w:spacing w:after="40"/>
            </w:pPr>
            <w:r/>
            <w:r>
              <w:rPr>
                <w:color w:val="22252B"/>
                <w:sz w:val="19"/>
              </w:rPr>
              <w:t>dim_date</w:t>
            </w:r>
          </w:p>
        </w:tc>
        <w:tc>
          <w:tcPr>
            <w:tcW w:type="dxa" w:w="1584"/>
          </w:tcPr>
          <w:p>
            <w:pPr>
              <w:spacing w:after="40"/>
            </w:pPr>
            <w:r/>
            <w:r>
              <w:rPr>
                <w:color w:val="22252B"/>
                <w:sz w:val="19"/>
              </w:rPr>
              <w:t>2.192</w:t>
            </w:r>
          </w:p>
        </w:tc>
        <w:tc>
          <w:tcPr>
            <w:tcW w:type="dxa" w:w="4320"/>
          </w:tcPr>
          <w:p>
            <w:pPr>
              <w:spacing w:after="40"/>
            </w:pPr>
            <w:r/>
            <w:r>
              <w:rPr>
                <w:color w:val="22252B"/>
                <w:sz w:val="19"/>
              </w:rPr>
              <w:t>2022–2027 takvimi, Türkiye resmî tatilleri dahil</w:t>
            </w:r>
          </w:p>
        </w:tc>
      </w:tr>
      <w:tr>
        <w:tc>
          <w:tcPr>
            <w:tcW w:type="dxa" w:w="3168"/>
          </w:tcPr>
          <w:p>
            <w:pPr>
              <w:spacing w:after="40"/>
            </w:pPr>
            <w:r/>
            <w:r>
              <w:rPr>
                <w:color w:val="22252B"/>
                <w:sz w:val="19"/>
              </w:rPr>
              <w:t>dim_vehicle</w:t>
            </w:r>
          </w:p>
        </w:tc>
        <w:tc>
          <w:tcPr>
            <w:tcW w:type="dxa" w:w="1584"/>
          </w:tcPr>
          <w:p>
            <w:pPr>
              <w:spacing w:after="40"/>
            </w:pPr>
            <w:r/>
            <w:r>
              <w:rPr>
                <w:color w:val="22252B"/>
                <w:sz w:val="19"/>
              </w:rPr>
              <w:t>68.837</w:t>
            </w:r>
          </w:p>
        </w:tc>
        <w:tc>
          <w:tcPr>
            <w:tcW w:type="dxa" w:w="4320"/>
          </w:tcPr>
          <w:p>
            <w:pPr>
              <w:spacing w:after="40"/>
            </w:pPr>
            <w:r/>
            <w:r>
              <w:rPr>
                <w:color w:val="22252B"/>
                <w:sz w:val="19"/>
              </w:rPr>
              <w:t>Araç, SCD2 versiyonlarıyla</w:t>
            </w:r>
          </w:p>
        </w:tc>
      </w:tr>
      <w:tr>
        <w:tc>
          <w:tcPr>
            <w:tcW w:type="dxa" w:w="3168"/>
          </w:tcPr>
          <w:p>
            <w:pPr>
              <w:spacing w:after="40"/>
            </w:pPr>
            <w:r/>
            <w:r>
              <w:rPr>
                <w:color w:val="22252B"/>
                <w:sz w:val="19"/>
              </w:rPr>
              <w:t>dim_customer</w:t>
            </w:r>
          </w:p>
        </w:tc>
        <w:tc>
          <w:tcPr>
            <w:tcW w:type="dxa" w:w="1584"/>
          </w:tcPr>
          <w:p>
            <w:pPr>
              <w:spacing w:after="40"/>
            </w:pPr>
            <w:r/>
            <w:r>
              <w:rPr>
                <w:color w:val="22252B"/>
                <w:sz w:val="19"/>
              </w:rPr>
              <w:t>26.235</w:t>
            </w:r>
          </w:p>
        </w:tc>
        <w:tc>
          <w:tcPr>
            <w:tcW w:type="dxa" w:w="4320"/>
          </w:tcPr>
          <w:p>
            <w:pPr>
              <w:spacing w:after="40"/>
            </w:pPr>
            <w:r/>
            <w:r>
              <w:rPr>
                <w:color w:val="22252B"/>
                <w:sz w:val="19"/>
              </w:rPr>
              <w:t>MDM altın kayıtları</w:t>
            </w:r>
          </w:p>
        </w:tc>
      </w:tr>
      <w:tr>
        <w:tc>
          <w:tcPr>
            <w:tcW w:type="dxa" w:w="3168"/>
          </w:tcPr>
          <w:p>
            <w:pPr>
              <w:spacing w:after="40"/>
            </w:pPr>
            <w:r/>
            <w:r>
              <w:rPr>
                <w:color w:val="22252B"/>
                <w:sz w:val="19"/>
              </w:rPr>
              <w:t>dim_part</w:t>
            </w:r>
          </w:p>
        </w:tc>
        <w:tc>
          <w:tcPr>
            <w:tcW w:type="dxa" w:w="1584"/>
          </w:tcPr>
          <w:p>
            <w:pPr>
              <w:spacing w:after="40"/>
            </w:pPr>
            <w:r/>
            <w:r>
              <w:rPr>
                <w:color w:val="22252B"/>
                <w:sz w:val="19"/>
              </w:rPr>
              <w:t>13.946</w:t>
            </w:r>
          </w:p>
        </w:tc>
        <w:tc>
          <w:tcPr>
            <w:tcW w:type="dxa" w:w="4320"/>
          </w:tcPr>
          <w:p>
            <w:pPr>
              <w:spacing w:after="40"/>
            </w:pPr>
            <w:r/>
            <w:r>
              <w:rPr>
                <w:color w:val="22252B"/>
                <w:sz w:val="19"/>
              </w:rPr>
              <w:t>Yedek parça</w:t>
            </w:r>
          </w:p>
        </w:tc>
      </w:tr>
      <w:tr>
        <w:tc>
          <w:tcPr>
            <w:tcW w:type="dxa" w:w="3168"/>
          </w:tcPr>
          <w:p>
            <w:pPr>
              <w:spacing w:after="40"/>
            </w:pPr>
            <w:r/>
            <w:r>
              <w:rPr>
                <w:color w:val="22252B"/>
                <w:sz w:val="19"/>
              </w:rPr>
              <w:t>fact_vehicle_sale</w:t>
            </w:r>
          </w:p>
        </w:tc>
        <w:tc>
          <w:tcPr>
            <w:tcW w:type="dxa" w:w="1584"/>
          </w:tcPr>
          <w:p>
            <w:pPr>
              <w:spacing w:after="40"/>
            </w:pPr>
            <w:r/>
            <w:r>
              <w:rPr>
                <w:color w:val="22252B"/>
                <w:sz w:val="19"/>
              </w:rPr>
              <w:t>29.431</w:t>
            </w:r>
          </w:p>
        </w:tc>
        <w:tc>
          <w:tcPr>
            <w:tcW w:type="dxa" w:w="4320"/>
          </w:tcPr>
          <w:p>
            <w:pPr>
              <w:spacing w:after="40"/>
            </w:pPr>
            <w:r/>
            <w:r>
              <w:rPr>
                <w:color w:val="22252B"/>
                <w:sz w:val="19"/>
              </w:rPr>
              <w:t>Satış sözleşmesi — işlem fact'i</w:t>
            </w:r>
          </w:p>
        </w:tc>
      </w:tr>
      <w:tr>
        <w:tc>
          <w:tcPr>
            <w:tcW w:type="dxa" w:w="3168"/>
          </w:tcPr>
          <w:p>
            <w:pPr>
              <w:spacing w:after="40"/>
            </w:pPr>
            <w:r/>
            <w:r>
              <w:rPr>
                <w:color w:val="22252B"/>
                <w:sz w:val="19"/>
              </w:rPr>
              <w:t>fact_repair_order</w:t>
            </w:r>
          </w:p>
        </w:tc>
        <w:tc>
          <w:tcPr>
            <w:tcW w:type="dxa" w:w="1584"/>
          </w:tcPr>
          <w:p>
            <w:pPr>
              <w:spacing w:after="40"/>
            </w:pPr>
            <w:r/>
            <w:r>
              <w:rPr>
                <w:color w:val="22252B"/>
                <w:sz w:val="19"/>
              </w:rPr>
              <w:t>176.414</w:t>
            </w:r>
          </w:p>
        </w:tc>
        <w:tc>
          <w:tcPr>
            <w:tcW w:type="dxa" w:w="4320"/>
          </w:tcPr>
          <w:p>
            <w:pPr>
              <w:spacing w:after="40"/>
            </w:pPr>
            <w:r/>
            <w:r>
              <w:rPr>
                <w:color w:val="22252B"/>
                <w:sz w:val="19"/>
              </w:rPr>
              <w:t>İş emri — birikimli snapshot</w:t>
            </w:r>
          </w:p>
        </w:tc>
      </w:tr>
      <w:tr>
        <w:tc>
          <w:tcPr>
            <w:tcW w:type="dxa" w:w="3168"/>
          </w:tcPr>
          <w:p>
            <w:pPr>
              <w:spacing w:after="40"/>
            </w:pPr>
            <w:r/>
            <w:r>
              <w:rPr>
                <w:color w:val="22252B"/>
                <w:sz w:val="19"/>
              </w:rPr>
              <w:t>fact_repair_order_line</w:t>
            </w:r>
          </w:p>
        </w:tc>
        <w:tc>
          <w:tcPr>
            <w:tcW w:type="dxa" w:w="1584"/>
          </w:tcPr>
          <w:p>
            <w:pPr>
              <w:spacing w:after="40"/>
            </w:pPr>
            <w:r/>
            <w:r>
              <w:rPr>
                <w:color w:val="22252B"/>
                <w:sz w:val="19"/>
              </w:rPr>
              <w:t>608.703</w:t>
            </w:r>
          </w:p>
        </w:tc>
        <w:tc>
          <w:tcPr>
            <w:tcW w:type="dxa" w:w="4320"/>
          </w:tcPr>
          <w:p>
            <w:pPr>
              <w:spacing w:after="40"/>
            </w:pPr>
            <w:r/>
            <w:r>
              <w:rPr>
                <w:color w:val="22252B"/>
                <w:sz w:val="19"/>
              </w:rPr>
              <w:t>İş emri satırı</w:t>
            </w:r>
          </w:p>
        </w:tc>
      </w:tr>
      <w:tr>
        <w:tc>
          <w:tcPr>
            <w:tcW w:type="dxa" w:w="3168"/>
          </w:tcPr>
          <w:p>
            <w:pPr>
              <w:spacing w:after="40"/>
            </w:pPr>
            <w:r/>
            <w:r>
              <w:rPr>
                <w:color w:val="22252B"/>
                <w:sz w:val="19"/>
              </w:rPr>
              <w:t>fact_vehicle_inventory_daily</w:t>
            </w:r>
          </w:p>
        </w:tc>
        <w:tc>
          <w:tcPr>
            <w:tcW w:type="dxa" w:w="1584"/>
          </w:tcPr>
          <w:p>
            <w:pPr>
              <w:spacing w:after="40"/>
            </w:pPr>
            <w:r/>
            <w:r>
              <w:rPr>
                <w:color w:val="22252B"/>
                <w:sz w:val="19"/>
              </w:rPr>
              <w:t>8.591.335</w:t>
            </w:r>
          </w:p>
        </w:tc>
        <w:tc>
          <w:tcPr>
            <w:tcW w:type="dxa" w:w="4320"/>
          </w:tcPr>
          <w:p>
            <w:pPr>
              <w:spacing w:after="40"/>
            </w:pPr>
            <w:r/>
            <w:r>
              <w:rPr>
                <w:color w:val="22252B"/>
                <w:sz w:val="19"/>
              </w:rPr>
              <w:t>Günlük stok — periyodik snapshot</w:t>
            </w:r>
          </w:p>
        </w:tc>
      </w:tr>
    </w:tbl>
    <w:p>
      <w:pPr>
        <w:spacing w:after="80"/>
      </w:pPr>
    </w:p>
    <w:p>
      <w:pPr>
        <w:pStyle w:val="Heading2"/>
      </w:pPr>
      <w:r>
        <w:t>3.4. Neden iki farklı motor kullandım</w:t>
      </w:r>
    </w:p>
    <w:p>
      <w:r>
        <w:rPr>
          <w:b w:val="0"/>
          <w:i w:val="0"/>
        </w:rPr>
        <w:t>Fabric aynı depolama üzerinde iki hesaplama motoru sunuyor: Lakehouse + PySpark ve Warehouse + T-SQL. İkisi de bu işin çoğunu yapabilir. Ben katman katman böldüm: Bronze ve Silver PySpark ile Lakehouse'ta, Gold T-SQL ile Warehouse'ta.</w:t>
      </w:r>
    </w:p>
    <w:p>
      <w:r>
        <w:rPr>
          <w:b w:val="0"/>
          <w:i w:val="0"/>
        </w:rPr>
        <w:t>Gerekçe, işin karakterinin katmandan katmana değişmesi. Silver'daki iş satır bazlı algoritma: bulanık isim eşleştirme, VIN kontrol hanesi hesabı, PII hash'leme, iç içe JSON açma. Bunlar Python'da okunabilir ve test edilebilir; saf T-SQL'de yazmak hem zahmetli hem kırılgan olurdu. Gold'daki iş ise küme bazlı boyutsal modelleme: surrogate key atama, SCD2 versiyon yönetimi, anahtar arayarak fact yükleme. Bunlar ilişkisel motorların tam olarak bunun için doğduğu işler.</w:t>
      </w:r>
    </w:p>
    <w:p>
      <w:r>
        <w:rPr>
          <w:b w:val="0"/>
          <w:i w:val="0"/>
        </w:rPr>
        <w:t>Bunun bir bedeli var ve bedeli peşinen yazdım: iki motor, iki hata ayıklama biçimi ve aralarında geçilmesi gereken bir sınır. Silver'daki bir hatayı Spark notebook'unda, Gold'daki bir hatayı T-SQL prosedüründe ayıklıyorsunuz ve beceriler birebir transfer olmuyor. Bu sınırın gerçekten çalışıp çalışmadığı projenin en riskli varsayımıydı — ve 9. bölümde göreceğiniz gibi ilk denemede çalışmadı.</w:t>
      </w:r>
    </w:p>
    <w:p>
      <w:pPr>
        <w:pStyle w:val="Heading1"/>
      </w:pPr>
      <w:r>
        <w:t>4. Surrogate key</w:t>
      </w:r>
    </w:p>
    <w:p>
      <w:r>
        <w:rPr>
          <w:b w:val="0"/>
          <w:i w:val="0"/>
        </w:rPr>
        <w:t>Surrogate key, boyut tablosunda iş anlamı taşımayan, sadece o tabloda benzersiz olan bir tamsayı anahtar. Örneğin dim_vehicle'da aracın VIN'i iş anahtarıdır (natural key), vehicle_sk ise surrogate key.</w:t>
      </w:r>
    </w:p>
    <w:p>
      <w:r>
        <w:rPr>
          <w:b w:val="0"/>
          <w:i w:val="0"/>
        </w:rPr>
        <w:t>"Zaten VIN benzersiz, neden ikinci bir anahtar?" sorusunun dört ayrı cevabı var ve hepsi pratik.</w:t>
      </w:r>
    </w:p>
    <w:p>
      <w:pPr>
        <w:pStyle w:val="Heading3"/>
      </w:pPr>
      <w:r>
        <w:t>İş anahtarı değişebilir</w:t>
      </w:r>
    </w:p>
    <w:p>
      <w:r>
        <w:rPr>
          <w:b w:val="0"/>
          <w:i w:val="0"/>
        </w:rPr>
        <w:t>Bir bayi kodu değişirse ya da kaynak sistem yeniden numaralandırırsa, iş anahtarına bağlanmış bütün geçmiş fact satırları kopar. Surrogate key kaynağın numaralandırmasından tamamen bağımsızdır, dolayısıyla böyle bir değişiklik geçmişi bozmaz.</w:t>
      </w:r>
    </w:p>
    <w:p>
      <w:pPr>
        <w:pStyle w:val="Heading3"/>
      </w:pPr>
      <w:r>
        <w:t>SCD Type 2'de iş anahtarı artık tekil değil</w:t>
      </w:r>
    </w:p>
    <w:p>
      <w:r>
        <w:rPr>
          <w:b w:val="0"/>
          <w:i w:val="0"/>
        </w:rPr>
        <w:t>Bu en kritik olanı. Boyutu versiyonlamaya başladığınız anda aynı VIN için tabloda birden fazla satır olur — aracın 2023'teki hâli, 2025'teki hâli. Fact tablosu VIN'e bağlansaydı, hangi versiyona bağlanacağı belirsiz kalırdı. Surrogate key her versiyona ayrı bir kimlik verdiği için fact, ait olduğu tarihteki versiyona kesin olarak bağlanır.</w:t>
      </w:r>
    </w:p>
    <w:p>
      <w:pPr>
        <w:pStyle w:val="Heading3"/>
      </w:pPr>
      <w:r>
        <w:t>Birleşik anahtarlar fact'i şişirir</w:t>
      </w:r>
    </w:p>
    <w:p>
      <w:r>
        <w:rPr>
          <w:b w:val="0"/>
          <w:i w:val="0"/>
        </w:rPr>
        <w:t>İş emri satırının doğal anahtarı repair_order_no + line_no. Bunu 608 bin satırlık fact tablosunda iki metin sütunu olarak taşımak hem yer kaplar hem join'i yavaşlatır. Tek bir tamsayı hem küçük hem hızlı.</w:t>
      </w:r>
    </w:p>
    <w:p>
      <w:pPr>
        <w:pStyle w:val="Heading3"/>
      </w:pPr>
      <w:r>
        <w:t>Farklı kaynaklar aynı anahtarı kullanabilir</w:t>
      </w:r>
    </w:p>
    <w:p>
      <w:r>
        <w:rPr>
          <w:b w:val="0"/>
          <w:i w:val="0"/>
        </w:rPr>
        <w:t>DMS'teki müşteri numarası ile CRM'deki müşteri numarası çakışabilir. Surrogate key bu çakışmayı tasarım gereği ortadan kaldırır.</w:t>
      </w:r>
    </w:p>
    <w:p>
      <w:pPr>
        <w:pStyle w:val="Heading3"/>
      </w:pPr>
      <w:r>
        <w:t>Bilinmiyor ve Uygulanamaz üyeleri</w:t>
      </w:r>
    </w:p>
    <w:p>
      <w:r>
        <w:rPr>
          <w:b w:val="0"/>
          <w:i w:val="0"/>
        </w:rPr>
        <w:t>Her boyutta iki özel satır var: −1 "Bilinmiyor" ve −2 "Uygulanamaz". Bunlar boş (NULL) yabancı anahtar kullanmamak için var.</w:t>
      </w:r>
    </w:p>
    <w:p>
      <w:r>
        <w:rPr>
          <w:b w:val="0"/>
          <w:i w:val="0"/>
        </w:rPr>
        <w:t>Neden NULL kullanmıyorum: NULL join'i düşürür. Power BI düşen bir join'e boş satır üreterek cevap verir — o fact satırı, o boyutla dilimlenen her görselden kaybolur, toplamlar genel toplamla tutmaz ve hiçbir yerde bunun olduğu yazmaz. −1 ile satır görünür kalır, ölçüler toplanabilir kalır ve raporda "ne kadarı bilinmiyor" sorusu cevaplanabilir hâle gelir — ki bu da başlı başına bir veri kalitesi sinyali.</w:t>
      </w:r>
    </w:p>
    <w:p>
      <w:r>
        <w:rPr>
          <w:b w:val="0"/>
          <w:i w:val="0"/>
        </w:rPr>
        <w:t>−2 ayrı bir üye çünkü takassız bir satış ile takası tanımlayamadığımız bir satış farklı şeyler. İkisini birleştirirsem "kaç satışta takas yoktu" sorusu cevaplanamaz hâle gelir.</w:t>
      </w:r>
    </w:p>
    <w:p>
      <w:pPr>
        <w:pStyle w:val="Heading3"/>
      </w:pPr>
      <w:r>
        <w:t>Anahtarı nasıl ürettim</w:t>
      </w:r>
    </w:p>
    <w:p>
      <w:r>
        <w:rPr>
          <w:b w:val="0"/>
          <w:i w:val="0"/>
        </w:rPr>
        <w:t>Klasik yöntem IDENTITY sütunu kullanmaktır. Fabric Warehouse'ta bunu test ettim ve beklediğimden dar çıktı: IDENTITY yalnızca BIGINT sütunlarda çalışıyor ve seed/artış değeri verilmesine izin vermiyor — sadece çıplak, varsayılan hâli kabul ediliyor. Bu yüzden anahtarları açık bir kalıpla üretiyorum:</w:t>
      </w:r>
    </w:p>
    <w:p>
      <w:pPr>
        <w:spacing w:before="80" w:after="200" w:line="252" w:lineRule="auto"/>
        <w:ind w:left="360"/>
        <w:shd w:val="clear" w:fill="F4F2EE"/>
      </w:pPr>
      <w:r>
        <w:rPr>
          <w:rFonts w:ascii="Consolas" w:hAnsi="Consolas"/>
          <w:color w:val="333A45"/>
          <w:sz w:val="19"/>
        </w:rPr>
        <w:t>ROW_NUMBER() OVER (ORDER BY ...) +</w:t>
        <w:br/>
        <w:t xml:space="preserve">  ISNULL((SELECT MAX(dealer_sk) FROM gold.dim_dealer WHERE dealer_sk &gt; 0), 0)</w:t>
      </w:r>
    </w:p>
    <w:p>
      <w:r>
        <w:rPr>
          <w:b w:val="0"/>
          <w:i w:val="0"/>
        </w:rPr>
        <w:t>WHERE dealer_sk &gt; 0 koşulu şart: onsuz boş bir tabloda MAX değeri −1 (Bilinmiyor üyesi) döner ve ilk gerçek anahtar 0'dan başlamaya çalışır. Bunu bir kere yaşayıp eklemek zorunda kaldım.</w:t>
      </w:r>
    </w:p>
    <w:p>
      <w:pPr>
        <w:pStyle w:val="Heading1"/>
      </w:pPr>
      <w:r>
        <w:t>5. Boyutlar (dimension)</w:t>
      </w:r>
    </w:p>
    <w:p>
      <w:r>
        <w:rPr>
          <w:b w:val="0"/>
          <w:i w:val="0"/>
        </w:rPr>
        <w:t>Fact tabloları "ne kadar" sorusunu cevaplar; boyutlar "hangi" sorusunu. Hangi bayi, hangi müşteri, hangi araç, hangi gün. Rapordaki her filtre, her kırılım ve her eksen aslında bir boyut sütunu.</w:t>
      </w:r>
    </w:p>
    <w:p>
      <w:pPr>
        <w:pStyle w:val="Heading2"/>
      </w:pPr>
      <w:r>
        <w:t>5.1. SCD Type 2 — geçmişi saklamak</w:t>
      </w:r>
    </w:p>
    <w:p>
      <w:r>
        <w:rPr>
          <w:b w:val="0"/>
          <w:i w:val="0"/>
        </w:rPr>
        <w:t>Bir müşterinin şehri değiştiğinde ne yapılacağı bir tasarım kararı. Üzerine yazarsanız (Type 1) tablo hep güncel kalır ama geçmiş kaybolur: 2023'te İstanbul'da yapılmış bir satış, müşteri Ankara'ya taşındığı anda 2023 raporunda da Ankara'da görünmeye başlar. Bu sessiz bir yanlıştır — kimse hata almaz, sadece geçmiş rapor değişir.</w:t>
      </w:r>
    </w:p>
    <w:p>
      <w:r>
        <w:rPr>
          <w:b w:val="0"/>
          <w:i w:val="0"/>
        </w:rPr>
        <w:t>Type 2'de eski satır kapatılır, yeni bir satır açılır. Her satırda üç sütun var:</w:t>
      </w:r>
    </w:p>
    <w:tbl>
      <w:tblPr>
        <w:tblStyle w:val="TableGrid"/>
        <w:tblW w:type="auto" w:w="0"/>
        <w:tblLayout w:type="fixed"/>
        <w:tblLook w:firstColumn="1" w:firstRow="1" w:lastColumn="0" w:lastRow="0" w:noHBand="0" w:noVBand="1" w:val="04A0"/>
      </w:tblPr>
      <w:tblGrid>
        <w:gridCol w:w="4536"/>
        <w:gridCol w:w="4536"/>
      </w:tblGrid>
      <w:tr>
        <w:tc>
          <w:tcPr>
            <w:tcW w:type="dxa" w:w="2160"/>
            <w:shd w:val="clear" w:fill="EFEDE8"/>
          </w:tcPr>
          <w:p>
            <w:pPr>
              <w:spacing w:after="40"/>
            </w:pPr>
            <w:r/>
            <w:r>
              <w:rPr>
                <w:b/>
                <w:color w:val="22252B"/>
                <w:sz w:val="20"/>
              </w:rPr>
              <w:t>Sütun</w:t>
            </w:r>
          </w:p>
        </w:tc>
        <w:tc>
          <w:tcPr>
            <w:tcW w:type="dxa" w:w="6912"/>
            <w:shd w:val="clear" w:fill="EFEDE8"/>
          </w:tcPr>
          <w:p>
            <w:pPr>
              <w:spacing w:after="40"/>
            </w:pPr>
            <w:r/>
            <w:r>
              <w:rPr>
                <w:b/>
                <w:color w:val="22252B"/>
                <w:sz w:val="20"/>
              </w:rPr>
              <w:t>Anlamı</w:t>
            </w:r>
          </w:p>
        </w:tc>
      </w:tr>
      <w:tr>
        <w:tc>
          <w:tcPr>
            <w:tcW w:type="dxa" w:w="2160"/>
          </w:tcPr>
          <w:p>
            <w:pPr>
              <w:spacing w:after="40"/>
            </w:pPr>
            <w:r/>
            <w:r>
              <w:rPr>
                <w:color w:val="22252B"/>
                <w:sz w:val="19"/>
              </w:rPr>
              <w:t>valid_from</w:t>
            </w:r>
          </w:p>
        </w:tc>
        <w:tc>
          <w:tcPr>
            <w:tcW w:type="dxa" w:w="6912"/>
          </w:tcPr>
          <w:p>
            <w:pPr>
              <w:spacing w:after="40"/>
            </w:pPr>
            <w:r/>
            <w:r>
              <w:rPr>
                <w:color w:val="22252B"/>
                <w:sz w:val="19"/>
              </w:rPr>
              <w:t>Bu versiyonun geçerli olmaya başladığı tarih</w:t>
            </w:r>
          </w:p>
        </w:tc>
      </w:tr>
      <w:tr>
        <w:tc>
          <w:tcPr>
            <w:tcW w:type="dxa" w:w="2160"/>
          </w:tcPr>
          <w:p>
            <w:pPr>
              <w:spacing w:after="40"/>
            </w:pPr>
            <w:r/>
            <w:r>
              <w:rPr>
                <w:color w:val="22252B"/>
                <w:sz w:val="19"/>
              </w:rPr>
              <w:t>valid_to</w:t>
            </w:r>
          </w:p>
        </w:tc>
        <w:tc>
          <w:tcPr>
            <w:tcW w:type="dxa" w:w="6912"/>
          </w:tcPr>
          <w:p>
            <w:pPr>
              <w:spacing w:after="40"/>
            </w:pPr>
            <w:r/>
            <w:r>
              <w:rPr>
                <w:color w:val="22252B"/>
                <w:sz w:val="19"/>
              </w:rPr>
              <w:t>Geçerliliğinin bittiği tarih; açık versiyonlarda 9999-12-31</w:t>
            </w:r>
          </w:p>
        </w:tc>
      </w:tr>
      <w:tr>
        <w:tc>
          <w:tcPr>
            <w:tcW w:type="dxa" w:w="2160"/>
          </w:tcPr>
          <w:p>
            <w:pPr>
              <w:spacing w:after="40"/>
            </w:pPr>
            <w:r/>
            <w:r>
              <w:rPr>
                <w:color w:val="22252B"/>
                <w:sz w:val="19"/>
              </w:rPr>
              <w:t>is_current</w:t>
            </w:r>
          </w:p>
        </w:tc>
        <w:tc>
          <w:tcPr>
            <w:tcW w:type="dxa" w:w="6912"/>
          </w:tcPr>
          <w:p>
            <w:pPr>
              <w:spacing w:after="40"/>
            </w:pPr>
            <w:r/>
            <w:r>
              <w:rPr>
                <w:color w:val="22252B"/>
                <w:sz w:val="19"/>
              </w:rPr>
              <w:t>Açık versiyon mu (1) değil mi (0)</w:t>
            </w:r>
          </w:p>
        </w:tc>
      </w:tr>
    </w:tbl>
    <w:p>
      <w:pPr>
        <w:spacing w:after="80"/>
      </w:pPr>
    </w:p>
    <w:p>
      <w:r>
        <w:rPr>
          <w:b w:val="0"/>
          <w:i w:val="0"/>
        </w:rPr>
        <w:t>Fact tablosu boyuta bağlanırken tarih aralığına bakar:</w:t>
      </w:r>
    </w:p>
    <w:p>
      <w:pPr>
        <w:spacing w:before="80" w:after="200" w:line="252" w:lineRule="auto"/>
        <w:ind w:left="360"/>
        <w:shd w:val="clear" w:fill="F4F2EE"/>
      </w:pPr>
      <w:r>
        <w:rPr>
          <w:rFonts w:ascii="Consolas" w:hAnsi="Consolas"/>
          <w:color w:val="333A45"/>
          <w:sz w:val="19"/>
        </w:rPr>
        <w:t>LEFT JOIN gold.dim_dealer AS dl</w:t>
        <w:br/>
        <w:t xml:space="preserve">    ON  dl.dealer_code = s.dealer_code</w:t>
        <w:br/>
        <w:t xml:space="preserve">    AND s.contract_date &gt;= dl.valid_from</w:t>
        <w:br/>
        <w:t xml:space="preserve">    AND s.contract_date &lt;  dl.valid_to</w:t>
      </w:r>
    </w:p>
    <w:p>
      <w:r>
        <w:rPr>
          <w:b w:val="0"/>
          <w:i w:val="0"/>
        </w:rPr>
        <w:t>Buradaki asimetri — bir tarafta &gt;= diğer tarafta &lt; — kritik. İkisi de &lt;= olsaydı, versiyonun değiştiği günde satış hem eski hem yeni versiyonla eşleşir ve o günün fact satırları ikiye katlanırdı. Bu, yıldız şemada en sık yapılan sessiz hatalardan biri ve raporda toplam olarak görünene kadar fark edilmez.</w:t>
      </w:r>
    </w:p>
    <w:p>
      <w:r>
        <w:rPr>
          <w:b w:val="0"/>
          <w:i w:val="0"/>
        </w:rPr>
        <w:t>is_current sütunu aslında valid_to = 9999-12-31 ile aynı şeyi söylüyor. Yine de tutuyorum: sorgularda sihirli bir tarih sabitini her yere dağıtmamak için, ve BIT karşılaştırması optimizer için tarih karşılaştırmasından ucuz. Bedeli, birbiriyle çelişebilecek iki doğruluk kaynağı olması — bunun kirasını da bir bütünlük görünümüyle ödüyorum: gold.vw_scd2_integrity her satırda (is_current = 1) ile (valid_to = 9999-12-31) eşitliğini kontrol ediyor.</w:t>
      </w:r>
    </w:p>
    <w:p>
      <w:pPr>
        <w:pStyle w:val="Heading2"/>
      </w:pPr>
      <w:r>
        <w:t>5.2. Çıkarsanmış üye (inferred member)</w:t>
      </w:r>
    </w:p>
    <w:p>
      <w:r>
        <w:rPr>
          <w:b w:val="0"/>
          <w:i w:val="0"/>
        </w:rPr>
        <w:t>Ağın hiç satmadığı bir araç servise geldiğinde ne olur? İki kötü seçenek var: fact satırını düşürmek (servis geliri kaybolur) ya da −1 Bilinmiyor'a bağlamak (araç bazlı hiçbir analiz yapılamaz).</w:t>
      </w:r>
    </w:p>
    <w:p>
      <w:r>
        <w:rPr>
          <w:b w:val="0"/>
          <w:i w:val="0"/>
        </w:rPr>
        <w:t>Üçüncü yolu seçtim: boyutta o VIN için bir satır açılıyor, bilinen tek şey VIN ve ilk görüldüğü tarih, geri kalan alanlar boş ve is_inferred = 1 işaretli. Fact düşmüyor, araç ayırt edilebilir kalıyor ve "kaç işlemimiz ağ dışı araçlardan geliyor" sorusu ölçülebilir oluyor. Otomotivde bu son derece normal bir durum — başka bayiden alınmış bir araç yetkili servise gelir — yani bunu bir hata gibi değil, ölçülmesi gereken bir olgu gibi ele almak gerekiyor.</w:t>
      </w:r>
    </w:p>
    <w:p>
      <w:pPr>
        <w:pStyle w:val="Heading2"/>
      </w:pPr>
      <w:r>
        <w:t>5.3. Junk dimension</w:t>
      </w:r>
    </w:p>
    <w:p>
      <w:r>
        <w:rPr>
          <w:b w:val="0"/>
          <w:i w:val="0"/>
        </w:rPr>
        <w:t>Satış ve iş emri fact'lerinde bir sürü küçük bayrak vardı: kampanyalı mı, ödeme tipi, kanal, ikinci el mi, garanti mi, takas var mı. Altısını da fact tablosunda ayrı sütunlar olarak tutmak yerine tek bir boyutta topladım — dim_transaction_flag.</w:t>
      </w:r>
    </w:p>
    <w:p>
      <w:r>
        <w:rPr>
          <w:b w:val="0"/>
          <w:i w:val="0"/>
        </w:rPr>
        <w:t>Kazancı: fact'te altı sütun yerine tek bir anahtar, Power BI'da tek tablodan altı dilimleyici, ve yedinci bir bayrak eklemek gerektiğinde yüz binlerce satırlık fact tablosunu değiştirmek yerine boyuta sütun eklemek. Boyut, tüm kombinasyonların kartezyen çarpımından değil, veride gerçekten geçen kombinasyonlardan üretiliyor — sıfır satır döndüren bir dilimleyici seçeneği, insanların rapora güvenmeyi bıraktığı yerlerden biri.</w:t>
      </w:r>
    </w:p>
    <w:p>
      <w:r>
        <w:rPr>
          <w:b w:val="0"/>
          <w:i w:val="0"/>
        </w:rPr>
        <w:t>Bu tablo bana pahalıya mal olan bir ders de verdi; 9. bölümde anlatıyorum.</w:t>
      </w:r>
    </w:p>
    <w:p>
      <w:pPr>
        <w:pStyle w:val="Heading2"/>
      </w:pPr>
      <w:r>
        <w:t>5.4. Ortak (conformed) boyutlar</w:t>
      </w:r>
    </w:p>
    <w:p>
      <w:r>
        <w:rPr>
          <w:b w:val="0"/>
          <w:i w:val="0"/>
        </w:rPr>
        <w:t>dim_date, dim_vehicle, dim_dealer ve dim_employee birden fazla fact tarafından paylaşılıyor. Bunun anlamı şu: bir personel, araba sattığında da arabayı tamir ettiğinde de aynı satır. Böylece satış ve servis aynı bayi kırılımında yan yana konabiliyor. Ortak boyutlar olmasaydı her fact kendi bayi listesini taşır ve "bu bayi ne sattı, ne kadar servis yaptı" sorusu iki ayrı rapora bölünürdü.</w:t>
      </w:r>
    </w:p>
    <w:p>
      <w:pPr>
        <w:pStyle w:val="Heading1"/>
      </w:pPr>
      <w:r>
        <w:t>6. Fact tabloları ve grain</w:t>
      </w:r>
    </w:p>
    <w:p>
      <w:r>
        <w:rPr>
          <w:b w:val="0"/>
          <w:i w:val="0"/>
        </w:rPr>
        <w:t>Bir fact tablosunu tasarlarken ilk cevaplanması gereken soru grain: bir satır neyi temsil ediyor? Bu soruyu net cevaplamadan sütun eklemeye başlamak, sonradan toplanamayan ölçülerle uğraşmak demek. Bu projede dört farklı fact tipi kullandım ve her biri farklı bir soruyu cevaplıyor.</w:t>
      </w:r>
    </w:p>
    <w:tbl>
      <w:tblPr>
        <w:tblStyle w:val="TableGrid"/>
        <w:tblW w:type="auto" w:w="0"/>
        <w:tblLayout w:type="fixed"/>
        <w:tblLook w:firstColumn="1" w:firstRow="1" w:lastColumn="0" w:lastRow="0" w:noHBand="0" w:noVBand="1" w:val="04A0"/>
      </w:tblPr>
      <w:tblGrid>
        <w:gridCol w:w="3024"/>
        <w:gridCol w:w="3024"/>
        <w:gridCol w:w="3024"/>
      </w:tblGrid>
      <w:tr>
        <w:tc>
          <w:tcPr>
            <w:tcW w:type="dxa" w:w="2304"/>
            <w:shd w:val="clear" w:fill="EFEDE8"/>
          </w:tcPr>
          <w:p>
            <w:pPr>
              <w:spacing w:after="40"/>
            </w:pPr>
            <w:r/>
            <w:r>
              <w:rPr>
                <w:b/>
                <w:color w:val="22252B"/>
                <w:sz w:val="20"/>
              </w:rPr>
              <w:t>Tip</w:t>
            </w:r>
          </w:p>
        </w:tc>
        <w:tc>
          <w:tcPr>
            <w:tcW w:type="dxa" w:w="3024"/>
            <w:shd w:val="clear" w:fill="EFEDE8"/>
          </w:tcPr>
          <w:p>
            <w:pPr>
              <w:spacing w:after="40"/>
            </w:pPr>
            <w:r/>
            <w:r>
              <w:rPr>
                <w:b/>
                <w:color w:val="22252B"/>
                <w:sz w:val="20"/>
              </w:rPr>
              <w:t>Tablo</w:t>
            </w:r>
          </w:p>
        </w:tc>
        <w:tc>
          <w:tcPr>
            <w:tcW w:type="dxa" w:w="3744"/>
            <w:shd w:val="clear" w:fill="EFEDE8"/>
          </w:tcPr>
          <w:p>
            <w:pPr>
              <w:spacing w:after="40"/>
            </w:pPr>
            <w:r/>
            <w:r>
              <w:rPr>
                <w:b/>
                <w:color w:val="22252B"/>
                <w:sz w:val="20"/>
              </w:rPr>
              <w:t>Bir satır ne demek</w:t>
            </w:r>
          </w:p>
        </w:tc>
      </w:tr>
      <w:tr>
        <w:tc>
          <w:tcPr>
            <w:tcW w:type="dxa" w:w="2304"/>
          </w:tcPr>
          <w:p>
            <w:pPr>
              <w:spacing w:after="40"/>
            </w:pPr>
            <w:r/>
            <w:r>
              <w:rPr>
                <w:color w:val="22252B"/>
                <w:sz w:val="19"/>
              </w:rPr>
              <w:t>İşlem (transaction)</w:t>
            </w:r>
          </w:p>
        </w:tc>
        <w:tc>
          <w:tcPr>
            <w:tcW w:type="dxa" w:w="3024"/>
          </w:tcPr>
          <w:p>
            <w:pPr>
              <w:spacing w:after="40"/>
            </w:pPr>
            <w:r/>
            <w:r>
              <w:rPr>
                <w:color w:val="22252B"/>
                <w:sz w:val="19"/>
              </w:rPr>
              <w:t>fact_vehicle_sale</w:t>
            </w:r>
          </w:p>
        </w:tc>
        <w:tc>
          <w:tcPr>
            <w:tcW w:type="dxa" w:w="3744"/>
          </w:tcPr>
          <w:p>
            <w:pPr>
              <w:spacing w:after="40"/>
            </w:pPr>
            <w:r/>
            <w:r>
              <w:rPr>
                <w:color w:val="22252B"/>
                <w:sz w:val="19"/>
              </w:rPr>
              <w:t>Bir satış sözleşmesi</w:t>
            </w:r>
          </w:p>
        </w:tc>
      </w:tr>
      <w:tr>
        <w:tc>
          <w:tcPr>
            <w:tcW w:type="dxa" w:w="2304"/>
          </w:tcPr>
          <w:p>
            <w:pPr>
              <w:spacing w:after="40"/>
            </w:pPr>
            <w:r/>
            <w:r>
              <w:rPr>
                <w:color w:val="22252B"/>
                <w:sz w:val="19"/>
              </w:rPr>
              <w:t>Birikimli snapshot</w:t>
            </w:r>
          </w:p>
        </w:tc>
        <w:tc>
          <w:tcPr>
            <w:tcW w:type="dxa" w:w="3024"/>
          </w:tcPr>
          <w:p>
            <w:pPr>
              <w:spacing w:after="40"/>
            </w:pPr>
            <w:r/>
            <w:r>
              <w:rPr>
                <w:color w:val="22252B"/>
                <w:sz w:val="19"/>
              </w:rPr>
              <w:t>fact_repair_order</w:t>
            </w:r>
          </w:p>
        </w:tc>
        <w:tc>
          <w:tcPr>
            <w:tcW w:type="dxa" w:w="3744"/>
          </w:tcPr>
          <w:p>
            <w:pPr>
              <w:spacing w:after="40"/>
            </w:pPr>
            <w:r/>
            <w:r>
              <w:rPr>
                <w:color w:val="22252B"/>
                <w:sz w:val="19"/>
              </w:rPr>
              <w:t>Bir iş emri; aşamalar ilerledikçe aynı satır güncellenir</w:t>
            </w:r>
          </w:p>
        </w:tc>
      </w:tr>
      <w:tr>
        <w:tc>
          <w:tcPr>
            <w:tcW w:type="dxa" w:w="2304"/>
          </w:tcPr>
          <w:p>
            <w:pPr>
              <w:spacing w:after="40"/>
            </w:pPr>
            <w:r/>
            <w:r>
              <w:rPr>
                <w:color w:val="22252B"/>
                <w:sz w:val="19"/>
              </w:rPr>
              <w:t>Periyodik snapshot</w:t>
            </w:r>
          </w:p>
        </w:tc>
        <w:tc>
          <w:tcPr>
            <w:tcW w:type="dxa" w:w="3024"/>
          </w:tcPr>
          <w:p>
            <w:pPr>
              <w:spacing w:after="40"/>
            </w:pPr>
            <w:r/>
            <w:r>
              <w:rPr>
                <w:color w:val="22252B"/>
                <w:sz w:val="19"/>
              </w:rPr>
              <w:t>fact_vehicle_inventory_daily</w:t>
            </w:r>
          </w:p>
        </w:tc>
        <w:tc>
          <w:tcPr>
            <w:tcW w:type="dxa" w:w="3744"/>
          </w:tcPr>
          <w:p>
            <w:pPr>
              <w:spacing w:after="40"/>
            </w:pPr>
            <w:r/>
            <w:r>
              <w:rPr>
                <w:color w:val="22252B"/>
                <w:sz w:val="19"/>
              </w:rPr>
              <w:t>Bir araç, bir gün</w:t>
            </w:r>
          </w:p>
        </w:tc>
      </w:tr>
      <w:tr>
        <w:tc>
          <w:tcPr>
            <w:tcW w:type="dxa" w:w="2304"/>
          </w:tcPr>
          <w:p>
            <w:pPr>
              <w:spacing w:after="40"/>
            </w:pPr>
            <w:r/>
            <w:r>
              <w:rPr>
                <w:color w:val="22252B"/>
                <w:sz w:val="19"/>
              </w:rPr>
              <w:t>Factless</w:t>
            </w:r>
          </w:p>
        </w:tc>
        <w:tc>
          <w:tcPr>
            <w:tcW w:type="dxa" w:w="3024"/>
          </w:tcPr>
          <w:p>
            <w:pPr>
              <w:spacing w:after="40"/>
            </w:pPr>
            <w:r/>
            <w:r>
              <w:rPr>
                <w:color w:val="22252B"/>
                <w:sz w:val="19"/>
              </w:rPr>
              <w:t>fact_recall_coverage</w:t>
            </w:r>
          </w:p>
        </w:tc>
        <w:tc>
          <w:tcPr>
            <w:tcW w:type="dxa" w:w="3744"/>
          </w:tcPr>
          <w:p>
            <w:pPr>
              <w:spacing w:after="40"/>
            </w:pPr>
            <w:r/>
            <w:r>
              <w:rPr>
                <w:color w:val="22252B"/>
                <w:sz w:val="19"/>
              </w:rPr>
              <w:t>Kampanya kapsamındaki bir araç</w:t>
            </w:r>
          </w:p>
        </w:tc>
      </w:tr>
    </w:tbl>
    <w:p>
      <w:pPr>
        <w:spacing w:after="80"/>
      </w:pPr>
    </w:p>
    <w:p>
      <w:pPr>
        <w:pStyle w:val="Heading3"/>
      </w:pPr>
      <w:r>
        <w:t>Neden iş emri birikimli snapshot</w:t>
      </w:r>
    </w:p>
    <w:p>
      <w:r>
        <w:rPr>
          <w:b w:val="0"/>
          <w:i w:val="0"/>
        </w:rPr>
        <w:t>Bir iş emri bir işlem değil, bekleme odaları olan bir süreç: randevu, araç kabul, ekspertiz, parça bekleme, onarım, kalite kontrol, teslim. Her aşamanın kendi zaman damgası var ve satış sonrası raporunun varlık sebebi aralarındaki boşluklar.</w:t>
      </w:r>
    </w:p>
    <w:p>
      <w:r>
        <w:rPr>
          <w:b w:val="0"/>
          <w:i w:val="0"/>
        </w:rPr>
        <w:t>Toplam çevrim süresi tek başına her şeyi gizleyen bir sayı. Bu veri setinde medyan 73 saat, p90 ise 196 — ve aradaki farkın neredeyse tamamı çalışma değil, parça bekleme. Dokunma süresini bekleme süresinden ayırmak "servisimiz yavaş" cümlesini "parça tedarik zincirimiz yavaş" cümlesine çeviriyor; bunlar farklı departmanlar ve farklı çözümler.</w:t>
      </w:r>
    </w:p>
    <w:p>
      <w:r>
        <w:rPr>
          <w:b w:val="0"/>
          <w:i w:val="0"/>
        </w:rPr>
        <w:t>Bunun bir sonucu da şu: sonraki aşama sütunları o aşama gerçekleşene kadar boş kalır ve 1.090 iş emri zaman çizgisinin sonunda hâlâ süreç ortasında. Bu bir eksiklik değil, kalıbın çalıştığının kanıtı. Her satırı tamamlanmış bir birikimli snapshot hiçbir şey göstermez.</w:t>
      </w:r>
    </w:p>
    <w:p>
      <w:pPr>
        <w:pStyle w:val="Heading3"/>
      </w:pPr>
      <w:r>
        <w:t>Neden 8,5 milyon satırlık bir günlük stok tablosu</w:t>
      </w:r>
    </w:p>
    <w:p>
      <w:r>
        <w:rPr>
          <w:b w:val="0"/>
          <w:i w:val="0"/>
        </w:rPr>
        <w:t>"Ortalama kaç gün stokta kaldı" sorusu satış fact'inden türetilemez, çünkü satış fact'i yalnızca satılan araçları bilir. Hiç satılmamış araçlar ona görünmez — oysa stok maliyetini yaratan tam olarak onlar. Periyodik snapshot, bir şeyi gerçekleşmediği için sayabilen tek fact tipi.</w:t>
      </w:r>
    </w:p>
    <w:p>
      <w:r>
        <w:rPr>
          <w:b w:val="0"/>
          <w:i w:val="0"/>
        </w:rPr>
        <w:t>Bedeli açık: modelin en büyük tablosu ve günler arasında toplanamayan (yarı toplanır) ölçüler. Bir günün stok değeri anlamlı, otuz günün toplamı anlamsız.</w:t>
      </w:r>
    </w:p>
    <w:p>
      <w:pPr>
        <w:pStyle w:val="Heading3"/>
      </w:pPr>
      <w:r>
        <w:t>Neden geri çağırma factless</w:t>
      </w:r>
    </w:p>
    <w:p>
      <w:r>
        <w:rPr>
          <w:b w:val="0"/>
          <w:i w:val="0"/>
        </w:rPr>
        <w:t>Sorunun kendisi olumsuz: hangi araçlar kapsamda ve hâlâ gelmedi? Sadece yapılan işi kaydeden bir tablo bunu cevaplayamaz. Factless fact ilişkinin kendisini kaydediyor, böylece is_completed = 0 sorunun cevabı oluyor.</w:t>
      </w:r>
    </w:p>
    <w:p>
      <w:pPr>
        <w:pStyle w:val="Heading1"/>
      </w:pPr>
      <w:r>
        <w:t>7. Veri kalitesi çerçevesi</w:t>
      </w:r>
    </w:p>
    <w:p>
      <w:r>
        <w:rPr>
          <w:b w:val="0"/>
          <w:i w:val="0"/>
        </w:rPr>
        <w:t>25 veri kalitesi kuralı yazdım ve hepsi kod değil, veri olarak duruyor — ctl.dq_rule tablosunda. Her kuralın hangi tabloya baktığı, ihlalleri döndüren SQL'i, önem derecesi ve ihlal hâlinde karantinaya alınıp alınmayacağı birer sütun.</w:t>
      </w:r>
    </w:p>
    <w:p>
      <w:r>
        <w:rPr>
          <w:b w:val="0"/>
          <w:i w:val="0"/>
        </w:rPr>
        <w:t>Kuralı veri yapmanın avantajı yeni kural eklemenin bir satır olması değil sadece; asıl kazanç, aynı kural tanımının iki farklı motorda çalışabilmesi. Kurallar prosedürel kod olsaydı, Warehouse'un Silver'ı okuyamadığını keşfettiğimde hepsini yeniden yazmam gerekirdi.</w:t>
      </w:r>
    </w:p>
    <w:p>
      <w:r>
        <w:rPr>
          <w:b w:val="0"/>
          <w:i w:val="0"/>
        </w:rPr>
        <w:t>Her kuralın döndürdüğü sonuç kümesi aynı iki sütundan oluşuyor: business_key ve detail. Tek bir çalıştırıcının bir boşluk kontrolünü, bir benzersizlik kontrolünü, bir referans bütünlüğü kontrolünü ve satırlar arası pencere fonksiyonu kullanan bir kontrolü aradaki farkı bilmeden işletebilmesinin sebebi bu.</w:t>
      </w:r>
    </w:p>
    <w:p>
      <w:pPr>
        <w:pStyle w:val="Heading3"/>
      </w:pPr>
      <w:r>
        <w:t>En çok üzerinde durduğum kural: VIN kontrol hanesi</w:t>
      </w:r>
    </w:p>
    <w:p>
      <w:r>
        <w:rPr>
          <w:b w:val="0"/>
          <w:i w:val="0"/>
        </w:rPr>
        <w:t>ISO 3779'a göre bir VIN'in 9. hanesi, diğer 16 hanenin ağırlıklı toplamından hesaplanan bir kontrol hanesi. Bir VIN 17 karakterin hepsi geçerli olduğu hâlde yanlış olabilir — ve insan eliyle yazılan VIN'lerde en sık görülen hata iki hanenin yer değiştirmesi, ki bunu sadece kontrol hanesi yakalar. Uzunluk ve alfabe kontrolü yapan bir regex bu hatayı olduğu gibi geçirir.</w:t>
      </w:r>
    </w:p>
    <w:p>
      <w:r>
        <w:rPr>
          <w:b w:val="0"/>
          <w:i w:val="0"/>
        </w:rPr>
        <w:t>Bu kuralı bilinçli olarak kritik değil uyarı seviyesinde tuttum: araç büyük ihtimalle gerçek ve VIN'in bir hanesi yanlış; iş emrini karantinaya almak bir yazım hatasını düzeltmek için gerçek bir geliri kaybetmek olurdu.</w:t>
      </w:r>
    </w:p>
    <w:p>
      <w:pPr>
        <w:pStyle w:val="Heading3"/>
      </w:pPr>
      <w:r>
        <w:t>Kuralların kapsamı test ediliyor</w:t>
      </w:r>
    </w:p>
    <w:p>
      <w:r>
        <w:rPr>
          <w:b w:val="0"/>
          <w:i w:val="0"/>
        </w:rPr>
        <w:t>Kural kodları, kusur enjekte eden Python modülünden import ediliyor. Enjekte edilebilir bir kusur tipinin karşılığı bir kural yoksa seed üretimi hata verip duruyor. Bunu sahte bir kusur kodu ekleyip build'in patladığını görerek doğruladım.</w:t>
      </w:r>
    </w:p>
    <w:p>
      <w:r>
        <w:rPr>
          <w:b w:val="0"/>
          <w:i w:val="0"/>
        </w:rPr>
        <w:t>Gerçek Fabric çalıştırmasında 25 kuralın hepsi çalıştı: 14'ü temiz geçti, 10'u gerçek ihlal buldu, hiçbiri hata vermedi. 2.299 kritik ihlal bulundu ve 2.288 satır karantinaya alındı — Silver tablosundan çıkarılıp ayrı bir karantina tablosuna, sebebiyle birlikte yazıldı.</w:t>
      </w:r>
    </w:p>
    <w:p>
      <w:pPr>
        <w:pStyle w:val="Heading1"/>
      </w:pPr>
      <w:r>
        <w:t>8. Fabric tarafını kurmak</w:t>
      </w:r>
    </w:p>
    <w:p>
      <w:r>
        <w:rPr>
          <w:b w:val="0"/>
          <w:i w:val="0"/>
        </w:rPr>
        <w:t>Kod hazır olduktan sonra sıra gerçek ortama geldi. Fabric Trial bu hesabımda kullanılamadı — deneme sürümü yönetilen bir kurum hesabı istiyor ve elimdeki kiracı kabul edilmedi. Bu yüzden Azure üzerinden ücretli kapasite kurdum: pay-as-you-go, F2 (en küçük SKU).</w:t>
      </w:r>
    </w:p>
    <w:p>
      <w:r>
        <w:rPr>
          <w:b w:val="0"/>
          <w:i w:val="0"/>
        </w:rPr>
        <w:t>F2 tercihi bilinçliydi. Kapasite açık olduğu sürece saatlik ücretlendiriliyor, çalışmadığım sürelerde duraklatıyorum. Bu projenin ölçeğinde F2 fazlasıyla yeterli; tek gerçek kısıtını ilerleyen saatlerde gördüm: eşzamanlı Spark oturumu limiti çok düşük, bir notebook'un oturumunu kapatmadan diğerini başlatınca kapasite hatası alıyorsunuz.</w:t>
      </w:r>
    </w:p>
    <w:p>
      <w:r>
        <w:rPr>
          <w:b w:val="0"/>
          <w:i w:val="0"/>
        </w:rPr>
        <w:t>Kurulum sırası şöyleydi:</w:t>
      </w:r>
    </w:p>
    <w:p>
      <w:pPr>
        <w:pStyle w:val="ListBullet"/>
        <w:spacing w:after="80"/>
      </w:pPr>
      <w:r>
        <w:rPr>
          <w:b/>
        </w:rPr>
        <w:t xml:space="preserve">Kapasite. </w:t>
      </w:r>
      <w:r>
        <w:t>Azure Portal'da Microsoft Fabric kapasitesi (F2, West Europe) oluşturdum ve Fabric çalışma alanına bağladım.</w:t>
      </w:r>
    </w:p>
    <w:p>
      <w:pPr>
        <w:pStyle w:val="ListBullet"/>
        <w:spacing w:after="80"/>
      </w:pPr>
      <w:r>
        <w:rPr>
          <w:b/>
        </w:rPr>
        <w:t xml:space="preserve">Öğeler. </w:t>
      </w:r>
      <w:r>
        <w:t>mihenk adında bir çalışma alanı, içine mihenk_lh (Lakehouse) ve mihenk_wh (Warehouse) — bu sırayla, çünkü Warehouse sonradan Lakehouse'a üç parçalı isimle erişecek.</w:t>
      </w:r>
    </w:p>
    <w:p>
      <w:pPr>
        <w:pStyle w:val="ListBullet"/>
        <w:spacing w:after="80"/>
      </w:pPr>
      <w:r>
        <w:rPr>
          <w:b/>
        </w:rPr>
        <w:t xml:space="preserve">Kontrol düzlemi. </w:t>
      </w:r>
      <w:r>
        <w:t>ctl şemasının tabloları, DQ çerçevesi, VIN referans tabloları ve loglama prosedürleri Warehouse'da kuruldu; ardından 17 kaynak ve 25 kural seed edildi.</w:t>
      </w:r>
    </w:p>
    <w:p>
      <w:pPr>
        <w:pStyle w:val="ListBullet"/>
        <w:spacing w:after="80"/>
      </w:pPr>
      <w:r>
        <w:rPr>
          <w:b/>
        </w:rPr>
        <w:t xml:space="preserve">Veri yükleme. </w:t>
      </w:r>
      <w:r>
        <w:t>150 MB'lık kaynak veri OneLake File Explorer ile Lakehouse'un Files alanına kopyalandı. 1.836 küçük dosyalı servis klasörü burada beklendiği gibi yavaş ilerledi — bu yavaşlık zaten gösterilmek istenen şeydi.</w:t>
      </w:r>
    </w:p>
    <w:p>
      <w:pPr>
        <w:pStyle w:val="ListBullet"/>
        <w:spacing w:after="80"/>
      </w:pPr>
      <w:r>
        <w:rPr>
          <w:b/>
        </w:rPr>
        <w:t xml:space="preserve">Bronze. </w:t>
      </w:r>
      <w:r>
        <w:t>Bronze notebook'u önce elle tek kaynakla çalıştırdım, sonra Data Factory pipeline'ını kurup 17 kaynağın tamamını sırayla işlettim.</w:t>
      </w:r>
    </w:p>
    <w:p>
      <w:pPr>
        <w:pStyle w:val="ListBullet"/>
        <w:spacing w:after="80"/>
      </w:pPr>
      <w:r>
        <w:rPr>
          <w:b/>
        </w:rPr>
        <w:t xml:space="preserve">Silver. </w:t>
      </w:r>
      <w:r>
        <w:t>Dört Silver notebook'u sırayla: ortak fonksiyonlar, ana veri, MDM, hareket verisi ve DQ çalıştırıcısı.</w:t>
      </w:r>
    </w:p>
    <w:p>
      <w:pPr>
        <w:pStyle w:val="ListBullet"/>
        <w:spacing w:after="80"/>
      </w:pPr>
      <w:r>
        <w:rPr>
          <w:b/>
        </w:rPr>
        <w:t xml:space="preserve">Gold. </w:t>
      </w:r>
      <w:r>
        <w:t>Yıldız şema DDL'i, yükleme prosedürleri ve gold.usp_initial_load ile tek seferde tüm Gold yüklemesi.</w:t>
      </w:r>
    </w:p>
    <w:p>
      <w:pPr>
        <w:pStyle w:val="ListBullet"/>
        <w:spacing w:after="80"/>
      </w:pPr>
      <w:r>
        <w:rPr>
          <w:b/>
        </w:rPr>
        <w:t xml:space="preserve">Power BI. </w:t>
      </w:r>
      <w:r>
        <w:t>Warehouse üzerinde Direct Lake semantik model, 11 ilişki, 13 DAX ölçüsü ve tek sayfalık bir rapor.</w:t>
      </w:r>
    </w:p>
    <w:p>
      <w:pPr>
        <w:pStyle w:val="Heading1"/>
      </w:pPr>
      <w:r>
        <w:t>9. Kırılanlar ve nasıl düzelttim</w:t>
      </w:r>
    </w:p>
    <w:p>
      <w:r>
        <w:rPr>
          <w:b w:val="0"/>
          <w:i w:val="0"/>
        </w:rPr>
        <w:t>Bu bölüm raporun en uzun ve bence en değerli kısmı. Kodu gerçek bir Fabric kapasitesinde uçtan uca çalıştırdığımda 18 ayrı kusur çıktı. Hiçbiri kod okuyarak görünmüyordu; birçoğu yerel SQL Server'da da görünmüyordu, çünkü Fabric Warehouse dağıtık bir motor ve standart T-SQL'in bazı kalıplarını kabul etmiyor.</w:t>
      </w:r>
    </w:p>
    <w:p>
      <w:r>
        <w:rPr>
          <w:b w:val="0"/>
          <w:i w:val="0"/>
        </w:rPr>
        <w:t>Hepsini burada tek tek anlatmayacağım ama en öğretici olanları anlatacağım.</w:t>
      </w:r>
    </w:p>
    <w:p>
      <w:pPr>
        <w:pStyle w:val="Heading2"/>
      </w:pPr>
      <w:r>
        <w:t>9.1. Bir sentinel satır iki fact tablosunu sessizce ikiye katladı</w:t>
      </w:r>
    </w:p>
    <w:p>
      <w:r>
        <w:rPr>
          <w:b w:val="0"/>
          <w:i w:val="0"/>
        </w:rPr>
        <w:t>Gold yüklemesi hatasız bitti. Sonra satır sayılarına baktım: fact_repair_order'da 326.585 satır vardı, oysa Silver'daki iş emri sayısı 176 bin civarıydı. Neredeyse iki katı.</w:t>
      </w:r>
    </w:p>
    <w:p>
      <w:r>
        <w:rPr>
          <w:b w:val="0"/>
          <w:i w:val="0"/>
        </w:rPr>
        <w:t>Kontrol için doğal anahtara göre saydım:</w:t>
      </w:r>
    </w:p>
    <w:p>
      <w:pPr>
        <w:spacing w:before="80" w:after="200" w:line="252" w:lineRule="auto"/>
        <w:ind w:left="360"/>
        <w:shd w:val="clear" w:fill="F4F2EE"/>
      </w:pPr>
      <w:r>
        <w:rPr>
          <w:rFonts w:ascii="Consolas" w:hAnsi="Consolas"/>
          <w:color w:val="333A45"/>
          <w:sz w:val="19"/>
        </w:rPr>
        <w:t>SELECT repair_order_no, COUNT(*) FROM gold.fact_repair_order</w:t>
        <w:br/>
        <w:t>GROUP BY repair_order_no HAVING COUNT(*) &gt; 1;</w:t>
        <w:br/>
        <w:t>-- 150.171 satır</w:t>
      </w:r>
    </w:p>
    <w:p>
      <w:r>
        <w:rPr>
          <w:b w:val="0"/>
          <w:i w:val="0"/>
        </w:rPr>
        <w:t>Mükerrer iki satırı yan yana koyduğumda tek bir sütunda farklılaşıyorlardı: transaction_flag_sk. Biri gerçek bir anahtar, diğeri −1.</w:t>
      </w:r>
    </w:p>
    <w:p>
      <w:r>
        <w:rPr>
          <w:b w:val="0"/>
          <w:i w:val="0"/>
        </w:rPr>
        <w:t>Sebep şuydu: dim_transaction_flag'in −1 "Bilinmiyor" satırını, gerçek bir bayrak kombinasyonuyla birebir aynı öznitelik değerleriyle üretmişim — (0, 'NA', 'NA', 0, 0, 0). Bu boyuta doğal anahtarla değil, altı bayrak sütununun kombinasyonuyla join yapılıyor. Dolayısıyla sorgu hem gerçek satırı hem sentinel satırı eşleştiriyor ve o kombinasyona uyan her fact satırı ikiye çıkıyordu.</w:t>
      </w:r>
    </w:p>
    <w:p>
      <w:r>
        <w:rPr>
          <w:b w:val="0"/>
          <w:i w:val="0"/>
        </w:rPr>
        <w:t>Çözüm, diğer boyutlarda zaten kullandığım kalıbı buraya da getirmek oldu:</w:t>
      </w:r>
    </w:p>
    <w:p>
      <w:pPr>
        <w:spacing w:before="80" w:after="200" w:line="252" w:lineRule="auto"/>
        <w:ind w:left="360"/>
        <w:shd w:val="clear" w:fill="F4F2EE"/>
      </w:pPr>
      <w:r>
        <w:rPr>
          <w:rFonts w:ascii="Consolas" w:hAnsi="Consolas"/>
          <w:color w:val="333A45"/>
          <w:sz w:val="19"/>
        </w:rPr>
        <w:t>AND tf.transaction_flag_sk &gt; 0</w:t>
      </w:r>
    </w:p>
    <w:p>
      <w:r>
        <w:rPr>
          <w:b w:val="0"/>
          <w:i w:val="0"/>
        </w:rPr>
        <w:t>Ders şu: bir sentinel üyenin öznitelik değerleri doğada asla oluşamayacak değerler olmalı. Diğer boyutlarda bu kendiliğinden sağlanıyordu çünkü onların doğal anahtarı '-1' gibi sahte bir koddu; burada ise değerler gerçek verideki bir kombinasyonla çakıştı. Ve en can sıkıcı tarafı: hiçbir hata mesajı yok, sadece raporda iki katına çıkmış bir sayı.</w:t>
      </w:r>
    </w:p>
    <w:p>
      <w:pPr>
        <w:pStyle w:val="Heading2"/>
      </w:pPr>
      <w:r>
        <w:t>9.2. Notebook üretim script'i, yüklemesi gereken satırı yorum bırakmış</w:t>
      </w:r>
    </w:p>
    <w:p>
      <w:r>
        <w:rPr>
          <w:b w:val="0"/>
          <w:i w:val="0"/>
        </w:rPr>
        <w:t>Silver'ın ilk notebook'unu çalıştırdığımda NameError aldım: latest_by_key tanımlı değil. Oysa fonksiyon ortak fonksiyonlar dosyasında duruyordu ve notebook onu %run ile yüklüyordu.</w:t>
      </w:r>
    </w:p>
    <w:p>
      <w:r>
        <w:rPr>
          <w:b w:val="0"/>
          <w:i w:val="0"/>
        </w:rPr>
        <w:t>Notebook'ları okunabilir .py dosyaları olarak yazıp bir script ile .ipynb'ye çeviriyorum. .py hâlinde %run satırı Python açısından geçersiz olduğu için yorum olarak duruyor (# %run 00_silver_common); dönüştürücünün bu yorumu açması gerekiyordu, ama açmıyordu. Sonuç: notebook'ta o hücre bir yorum satırıydı, hiçbir şey yapmıyordu.</w:t>
      </w:r>
    </w:p>
    <w:p>
      <w:r>
        <w:rPr>
          <w:b w:val="0"/>
          <w:i w:val="0"/>
        </w:rPr>
        <w:t>Dönüştürücüye bu davranışı ekledim. Ardından daha kötüsünü buldum.</w:t>
      </w:r>
    </w:p>
    <w:p>
      <w:pPr>
        <w:pStyle w:val="Heading3"/>
      </w:pPr>
      <w:r>
        <w:t>Dört fonksiyon hiç kod hücresi olmamış</w:t>
      </w:r>
    </w:p>
    <w:p>
      <w:r>
        <w:rPr>
          <w:b w:val="0"/>
          <w:i w:val="0"/>
        </w:rPr>
        <w:t>Düzeltmeden sonra bazı fonksiyonlar hâlâ tanımsızdı. Tek tek test ettiğimde parse_date ve clean_string çalışıyordu ama latest_by_key çalışmıyordu. Aradaki farka baktığımda şunu gördüm: markdown notundan sonra yeni bir hücre başlatan # %% işareti eksikti. Dönüştürücü de bunu "markdown hücresi hâlâ devam ediyor" diye okuyup fonksiyonun tüm gövdesini markdown metnine dahil etmişti.</w:t>
      </w:r>
    </w:p>
    <w:p>
      <w:r>
        <w:rPr>
          <w:b w:val="0"/>
          <w:i w:val="0"/>
        </w:rPr>
        <w:t>Tarayınca dört fonksiyonun aynı şekilde yutulduğunu gördüm ve bunlar rastgele dört fonksiyon değildi: normalise_for_matching (MDM eşleştirmesinin normalizasyonu), latest_by_key (tekilleştirme), convert_to_try (döviz çevirimi) ve merge_into_silver (Silver'a yazan upsert). Yani Silver'ın çekirdek mantığının tamamı, .ipynb dosyasında çalıştırılabilir kod olarak hiç yer almıyordu.</w:t>
      </w:r>
    </w:p>
    <w:p>
      <w:r>
        <w:rPr>
          <w:b w:val="0"/>
          <w:i w:val="0"/>
        </w:rPr>
        <w:t>Bunu yakalamamın tek sebebi, "notebook hatasız çalıştı" ile yetinmeyip her ismi tek tek kontrol etmemdi.</w:t>
      </w:r>
    </w:p>
    <w:p>
      <w:pPr>
        <w:pStyle w:val="Heading2"/>
      </w:pPr>
      <w:r>
        <w:t>9.3. Fabric Warehouse geçici tabloya INSERT kabul etmiyor</w:t>
      </w:r>
    </w:p>
    <w:p>
      <w:r>
        <w:rPr>
          <w:b w:val="0"/>
          <w:i w:val="0"/>
        </w:rPr>
        <w:t>Gold'da takvim boyutunu dolduran prosedür şu hatayı verdi:</w:t>
      </w:r>
    </w:p>
    <w:p>
      <w:pPr>
        <w:spacing w:before="80" w:after="200" w:line="252" w:lineRule="auto"/>
        <w:ind w:left="360"/>
        <w:shd w:val="clear" w:fill="F4F2EE"/>
      </w:pPr>
      <w:r>
        <w:rPr>
          <w:rFonts w:ascii="Consolas" w:hAnsi="Consolas"/>
          <w:color w:val="333A45"/>
          <w:sz w:val="19"/>
        </w:rPr>
        <w:t>Msg 15816: The query references an object that is not</w:t>
        <w:br/>
        <w:t>supported in distributed processing mode.</w:t>
      </w:r>
    </w:p>
    <w:p>
      <w:r>
        <w:rPr>
          <w:b w:val="0"/>
          <w:i w:val="0"/>
        </w:rPr>
        <w:t>Hata mesajı prosedürün hangi satırında olduğunu söylemiyordu — hep aynı satır numarasını gösteriyordu. Bu yüzden içerideki parçaları tek tek, prosedür dışında çalıştırarak daralttım. Önce sistem görünümlerini (sys.columns) suçladım, sonra pencere fonksiyonlarını. İkisi de değildi.</w:t>
      </w:r>
    </w:p>
    <w:p>
      <w:r>
        <w:rPr>
          <w:b w:val="0"/>
          <w:i w:val="0"/>
        </w:rPr>
        <w:t>En basit hâline indirdiğimde ortaya çıktı:</w:t>
      </w:r>
    </w:p>
    <w:p>
      <w:pPr>
        <w:spacing w:before="80" w:after="200" w:line="252" w:lineRule="auto"/>
        <w:ind w:left="360"/>
        <w:shd w:val="clear" w:fill="F4F2EE"/>
      </w:pPr>
      <w:r>
        <w:rPr>
          <w:rFonts w:ascii="Consolas" w:hAnsi="Consolas"/>
          <w:color w:val="333A45"/>
          <w:sz w:val="19"/>
        </w:rPr>
        <w:t>CREATE TABLE #t (n INT);</w:t>
        <w:br/>
        <w:t>INSERT INTO #t SELECT n FROM ctl.util_numbers WHERE n &lt; 5;  -- HATA</w:t>
      </w:r>
    </w:p>
    <w:p>
      <w:r>
        <w:rPr>
          <w:b w:val="0"/>
          <w:i w:val="0"/>
        </w:rPr>
        <w:t>Fabric Warehouse, geçici bir tabloyu önce oluşturup sonra INSERT ... SELECT ile doldurmayı kabul etmiyor. Kabul ettiği biçim ise şu:</w:t>
      </w:r>
    </w:p>
    <w:p>
      <w:pPr>
        <w:spacing w:before="80" w:after="200" w:line="252" w:lineRule="auto"/>
        <w:ind w:left="360"/>
        <w:shd w:val="clear" w:fill="F4F2EE"/>
      </w:pPr>
      <w:r>
        <w:rPr>
          <w:rFonts w:ascii="Consolas" w:hAnsi="Consolas"/>
          <w:color w:val="333A45"/>
          <w:sz w:val="19"/>
        </w:rPr>
        <w:t>SELECT n INTO #t FROM ctl.util_numbers WHERE n &lt; 5;  -- çalışıyor</w:t>
      </w:r>
    </w:p>
    <w:p>
      <w:r>
        <w:rPr>
          <w:b w:val="0"/>
          <w:i w:val="0"/>
        </w:rPr>
        <w:t>Bu tek bulgu beş dosyada, on iki ayrı yerde değişiklik gerektirdi — çünkü "geçici tabloya veri hazırla, sonra kullan" T-SQL'de son derece yaygın bir kalıp ve Gold'un neredeyse bütün yükleme prosedürlerinde vardı.</w:t>
      </w:r>
    </w:p>
    <w:p>
      <w:r>
        <w:rPr>
          <w:b w:val="0"/>
          <w:i w:val="0"/>
        </w:rPr>
        <w:t>Aynı araştırmada iki şey daha öğrendim: sistem kataloğu görünümleri (sys.columns) dağıtık modda join edilemiyor, ve klasik sayı üretme numarası olan ROW_NUMBER() OVER (ORDER BY (SELECT NULL)) de reddediliyor. Sayı dizisi için GENERATE_SERIES kullanıp sonucu kalıcı bir ctl.util_numbers tablosuna yazdım.</w:t>
      </w:r>
    </w:p>
    <w:p>
      <w:pPr>
        <w:pStyle w:val="Heading2"/>
      </w:pPr>
      <w:r>
        <w:t>9.4. Gold'un Silver'ı okuyamaması</w:t>
      </w:r>
    </w:p>
    <w:p>
      <w:r>
        <w:rPr>
          <w:b w:val="0"/>
          <w:i w:val="0"/>
        </w:rPr>
        <w:t>gold.usp_initial_load'u ilk çalıştırdığımda on beşten fazla prosedür aynı hatayla düştü: Invalid object name 'silver.dealer'.</w:t>
      </w:r>
    </w:p>
    <w:p>
      <w:r>
        <w:rPr>
          <w:b w:val="0"/>
          <w:i w:val="0"/>
        </w:rPr>
        <w:t>Sebep basit ama benim gözden kaçırdığım bir şeydi: Bronze ve Silver fiziksel olarak Lakehouse'ta duruyor, Gold prosedürleri ise Warehouse'da çalışıyor. Warehouse'dan bakıldığında silver.dealer diye niteliksiz bir isim, Warehouse'un kendi içindeki bir nesneyi arar ve bulamaz. Lakehouse'a erişmek için üç parçalı isim gerekiyor:</w:t>
      </w:r>
    </w:p>
    <w:p>
      <w:pPr>
        <w:spacing w:before="80" w:after="200" w:line="252" w:lineRule="auto"/>
        <w:ind w:left="360"/>
        <w:shd w:val="clear" w:fill="F4F2EE"/>
      </w:pPr>
      <w:r>
        <w:rPr>
          <w:rFonts w:ascii="Consolas" w:hAnsi="Consolas"/>
          <w:color w:val="333A45"/>
          <w:sz w:val="19"/>
        </w:rPr>
        <w:t>FROM mihenk_lh.silver.dealer</w:t>
      </w:r>
    </w:p>
    <w:p>
      <w:r>
        <w:rPr>
          <w:b w:val="0"/>
          <w:i w:val="0"/>
        </w:rPr>
        <w:t>Mimari kararı yazarken bu sınırın test edilmesi gerektiğini not etmiştim; ama prosedürleri yazarken çağrı yerlerinin hepsinde doğru sözdizimini kullandığımı varsaymışım. Beş dosyada 40 referansı düzelttim.</w:t>
      </w:r>
    </w:p>
    <w:p>
      <w:pPr>
        <w:pStyle w:val="Heading2"/>
      </w:pPr>
      <w:r>
        <w:t>9.5. Zorlanmayan kısıtlar gerçek bir bozulmayı gizliyordu</w:t>
      </w:r>
    </w:p>
    <w:p>
      <w:r>
        <w:rPr>
          <w:b w:val="0"/>
          <w:i w:val="0"/>
        </w:rPr>
        <w:t>Fabric Warehouse'ta birincil anahtarlar NOT ENFORCED olarak tanımlanıyor — yani motor tekrarlı anahtar eklenmesini engellemiyor. Bunu test ettim ve doğruladım: aynı anahtarla iki satır ekleyince ikisi de kabul ediliyor.</w:t>
      </w:r>
    </w:p>
    <w:p>
      <w:r>
        <w:rPr>
          <w:b w:val="0"/>
          <w:i w:val="0"/>
        </w:rPr>
        <w:t>Bu bilgiyle, Gold'un DDL'ini gerçek kısıtları uygulayan yerel bir SQL Server'da da çalıştırmaya karar verdim. Orada takvim doldurma prosedürü birincil anahtar ihlaliyle durdu: 23 Nisan 2023 için dim_date'e iki satır eklenmeye çalışılıyordu.</w:t>
      </w:r>
    </w:p>
    <w:p>
      <w:r>
        <w:rPr>
          <w:b w:val="0"/>
          <w:i w:val="0"/>
        </w:rPr>
        <w:t>Sebep hoş bir tesadüftü: 23 Nisan hem sabit bir resmî tatil (Ulusal Egemenlik ve Çocuk Bayramı) hem de o yıl Ramazan Bayramı'nın üçüncü günü. İki farklı kaynaktan aynı tarihe iki tatil satırı giriyor, takvim sorgusu bu tarihte ikiye çoğalıyordu.</w:t>
      </w:r>
    </w:p>
    <w:p>
      <w:r>
        <w:rPr>
          <w:b w:val="0"/>
          <w:i w:val="0"/>
        </w:rPr>
        <w:t>Fabric'te bu hata hiç görünmezdi. Kısıt zorlanmadığı için iki satır sessizce eklenir, o güne bağlanan her fact iki kez sayılır ve kimse bir şey fark etmezdi. Yerel bir veritabanında çalıştırmanın tek sebebi buydu ve karşılığını verdi.</w:t>
      </w:r>
    </w:p>
    <w:p>
      <w:r>
        <w:rPr>
          <w:b w:val="0"/>
          <w:i w:val="0"/>
        </w:rPr>
        <w:t>Çözüm olarak tatilleri ekledikten sonra tarihe göre tekilleştiren bir adım koydum; tam gün tatil, yarım gün tatile göre önceliklendiriliyor.</w:t>
      </w:r>
    </w:p>
    <w:p>
      <w:pPr>
        <w:pStyle w:val="Heading2"/>
      </w:pPr>
      <w:r>
        <w:t>9.6. Veri kalitesi kurallarının motordan bağımsız olmadığını öğrendim</w:t>
      </w:r>
    </w:p>
    <w:p>
      <w:r>
        <w:rPr>
          <w:b w:val="0"/>
          <w:i w:val="0"/>
        </w:rPr>
        <w:t>Kuralları "veri olarak sakla, iki motorda da çalışsın" diye tasarlamıştım. Spark tarafında ilk kez çalıştırdığımda 25 kuralın 13'ü hata verdi.</w:t>
      </w:r>
    </w:p>
    <w:p>
      <w:r>
        <w:rPr>
          <w:b w:val="0"/>
          <w:i w:val="0"/>
        </w:rPr>
        <w:t>Sebep, kuralların T-SQL'e özgü fonksiyonlar kullanması:</w:t>
      </w:r>
    </w:p>
    <w:tbl>
      <w:tblPr>
        <w:tblStyle w:val="TableGrid"/>
        <w:tblW w:type="auto" w:w="0"/>
        <w:tblLayout w:type="fixed"/>
        <w:tblLook w:firstColumn="1" w:firstRow="1" w:lastColumn="0" w:lastRow="0" w:noHBand="0" w:noVBand="1" w:val="04A0"/>
      </w:tblPr>
      <w:tblGrid>
        <w:gridCol w:w="3024"/>
        <w:gridCol w:w="3024"/>
        <w:gridCol w:w="3024"/>
      </w:tblGrid>
      <w:tr>
        <w:tc>
          <w:tcPr>
            <w:tcW w:type="dxa" w:w="2880"/>
            <w:shd w:val="clear" w:fill="EFEDE8"/>
          </w:tcPr>
          <w:p>
            <w:pPr>
              <w:spacing w:after="40"/>
            </w:pPr>
            <w:r/>
            <w:r>
              <w:rPr>
                <w:b/>
                <w:color w:val="22252B"/>
                <w:sz w:val="20"/>
              </w:rPr>
              <w:t>T-SQL'e özgü</w:t>
            </w:r>
          </w:p>
        </w:tc>
        <w:tc>
          <w:tcPr>
            <w:tcW w:type="dxa" w:w="3024"/>
            <w:shd w:val="clear" w:fill="EFEDE8"/>
          </w:tcPr>
          <w:p>
            <w:pPr>
              <w:spacing w:after="40"/>
            </w:pPr>
            <w:r/>
            <w:r>
              <w:rPr>
                <w:b/>
                <w:color w:val="22252B"/>
                <w:sz w:val="20"/>
              </w:rPr>
              <w:t>Sorun</w:t>
            </w:r>
          </w:p>
        </w:tc>
        <w:tc>
          <w:tcPr>
            <w:tcW w:type="dxa" w:w="3168"/>
            <w:shd w:val="clear" w:fill="EFEDE8"/>
          </w:tcPr>
          <w:p>
            <w:pPr>
              <w:spacing w:after="40"/>
            </w:pPr>
            <w:r/>
            <w:r>
              <w:rPr>
                <w:b/>
                <w:color w:val="22252B"/>
                <w:sz w:val="20"/>
              </w:rPr>
              <w:t>Taşınabilir karşılığı</w:t>
            </w:r>
          </w:p>
        </w:tc>
      </w:tr>
      <w:tr>
        <w:tc>
          <w:tcPr>
            <w:tcW w:type="dxa" w:w="2880"/>
          </w:tcPr>
          <w:p>
            <w:pPr>
              <w:spacing w:after="40"/>
            </w:pPr>
            <w:r/>
            <w:r>
              <w:rPr>
                <w:color w:val="22252B"/>
                <w:sz w:val="19"/>
              </w:rPr>
              <w:t>ISNULL(a, b)</w:t>
            </w:r>
          </w:p>
        </w:tc>
        <w:tc>
          <w:tcPr>
            <w:tcW w:type="dxa" w:w="3024"/>
          </w:tcPr>
          <w:p>
            <w:pPr>
              <w:spacing w:after="40"/>
            </w:pPr>
            <w:r/>
            <w:r>
              <w:rPr>
                <w:color w:val="22252B"/>
                <w:sz w:val="19"/>
              </w:rPr>
              <w:t>Spark'ta isnull() tek parametre alır</w:t>
            </w:r>
          </w:p>
        </w:tc>
        <w:tc>
          <w:tcPr>
            <w:tcW w:type="dxa" w:w="3168"/>
          </w:tcPr>
          <w:p>
            <w:pPr>
              <w:spacing w:after="40"/>
            </w:pPr>
            <w:r/>
            <w:r>
              <w:rPr>
                <w:color w:val="22252B"/>
                <w:sz w:val="19"/>
              </w:rPr>
              <w:t>COALESCE(a, b)</w:t>
            </w:r>
          </w:p>
        </w:tc>
      </w:tr>
      <w:tr>
        <w:tc>
          <w:tcPr>
            <w:tcW w:type="dxa" w:w="2880"/>
          </w:tcPr>
          <w:p>
            <w:pPr>
              <w:spacing w:after="40"/>
            </w:pPr>
            <w:r/>
            <w:r>
              <w:rPr>
                <w:color w:val="22252B"/>
                <w:sz w:val="19"/>
              </w:rPr>
              <w:t>CONVERT(VARCHAR(10), d, 23)</w:t>
            </w:r>
          </w:p>
        </w:tc>
        <w:tc>
          <w:tcPr>
            <w:tcW w:type="dxa" w:w="3024"/>
          </w:tcPr>
          <w:p>
            <w:pPr>
              <w:spacing w:after="40"/>
            </w:pPr>
            <w:r/>
            <w:r>
              <w:rPr>
                <w:color w:val="22252B"/>
                <w:sz w:val="19"/>
              </w:rPr>
              <w:t>Spark'ta CONVERT yok</w:t>
            </w:r>
          </w:p>
        </w:tc>
        <w:tc>
          <w:tcPr>
            <w:tcW w:type="dxa" w:w="3168"/>
          </w:tcPr>
          <w:p>
            <w:pPr>
              <w:spacing w:after="40"/>
            </w:pPr>
            <w:r/>
            <w:r>
              <w:rPr>
                <w:color w:val="22252B"/>
                <w:sz w:val="19"/>
              </w:rPr>
              <w:t>CAST(d AS VARCHAR(10))</w:t>
            </w:r>
          </w:p>
        </w:tc>
      </w:tr>
      <w:tr>
        <w:tc>
          <w:tcPr>
            <w:tcW w:type="dxa" w:w="2880"/>
          </w:tcPr>
          <w:p>
            <w:pPr>
              <w:spacing w:after="40"/>
            </w:pPr>
            <w:r/>
            <w:r>
              <w:rPr>
                <w:color w:val="22252B"/>
                <w:sz w:val="19"/>
              </w:rPr>
              <w:t>CONVERT(VARCHAR(19), t, 120)</w:t>
            </w:r>
          </w:p>
        </w:tc>
        <w:tc>
          <w:tcPr>
            <w:tcW w:type="dxa" w:w="3024"/>
          </w:tcPr>
          <w:p>
            <w:pPr>
              <w:spacing w:after="40"/>
            </w:pPr>
            <w:r/>
            <w:r>
              <w:rPr>
                <w:color w:val="22252B"/>
                <w:sz w:val="19"/>
              </w:rPr>
              <w:t>Aynı</w:t>
            </w:r>
          </w:p>
        </w:tc>
        <w:tc>
          <w:tcPr>
            <w:tcW w:type="dxa" w:w="3168"/>
          </w:tcPr>
          <w:p>
            <w:pPr>
              <w:spacing w:after="40"/>
            </w:pPr>
            <w:r/>
            <w:r>
              <w:rPr>
                <w:color w:val="22252B"/>
                <w:sz w:val="19"/>
              </w:rPr>
              <w:t>LEFT(CAST(t AS VARCHAR(30)), 19)</w:t>
            </w:r>
          </w:p>
        </w:tc>
      </w:tr>
    </w:tbl>
    <w:p>
      <w:pPr>
        <w:spacing w:after="80"/>
      </w:pPr>
    </w:p>
    <w:p>
      <w:r>
        <w:rPr>
          <w:b w:val="0"/>
          <w:i w:val="0"/>
        </w:rPr>
        <w:t>Hepsini ANSI SQL karşılıklarıyla değiştirdim. Bir kural çifti ise kısmen çözümsüz kaldı ve bunu dürüstçe belgeledim: plaka format kontrolü T-SQL'in [0-9] karakter sınıfı LIKE sözdizimini kullanıyor, Spark'ın LIKE'ı bunu desteklemiyor. Warehouse tarafında doğru çalışıyor, Spark tarafında çalışmıyor.</w:t>
      </w:r>
    </w:p>
    <w:p>
      <w:r>
        <w:rPr>
          <w:b w:val="0"/>
          <w:i w:val="0"/>
        </w:rPr>
        <w:t>Aynı kural çiftinde ikinci bir sorun daha çıktı: kural plate_number sütununa bakıyordu ama Silver'da öyle bir sütun yok — PII maskelemesi ham plakayı çıkarıyor, geriye plate_masked ve plate_hash kalıyor. İl kodu maskelemeden etkilenmediği için il kontrolü maskeli sütun üzerinden sorunsuz çalışıyor; format kontrolü ise harf sayısı bilgisini kaybettiği için daha kaba bir kontrole indirgendi. Bu, gizlilik ile doğrulanabilirlik arasında gerçek bir takas ve olduğu gibi yazdım.</w:t>
      </w:r>
    </w:p>
    <w:p>
      <w:pPr>
        <w:pStyle w:val="Heading2"/>
      </w:pPr>
      <w:r>
        <w:t>9.7. Küçük ama öğretici olanlar</w:t>
      </w:r>
    </w:p>
    <w:p>
      <w:pPr>
        <w:pStyle w:val="ListBullet"/>
        <w:spacing w:after="80"/>
      </w:pPr>
      <w:r>
        <w:rPr>
          <w:b/>
        </w:rPr>
        <w:t xml:space="preserve">Sütun genişliği. </w:t>
      </w:r>
      <w:r>
        <w:t>Bir DQ kuralının açıklaması 792 karakterdi, sütun VARCHAR(500) idi. Tabloyu oluşturmak sorunsuzdu; hata ancak 25 kuralın hepsini gerçekten eklerken çıktı.</w:t>
      </w:r>
    </w:p>
    <w:p>
      <w:pPr>
        <w:pStyle w:val="ListBullet"/>
        <w:spacing w:after="80"/>
      </w:pPr>
      <w:r>
        <w:rPr>
          <w:b/>
        </w:rPr>
        <w:t xml:space="preserve">Şema yok hatası. </w:t>
      </w:r>
      <w:r>
        <w:t>Şema destekli bir Lakehouse'ta bronze ve silver şemaları kendiliğinden oluşmuyor. İlk yazmadan önce elle CREATE SCHEMA gerekiyor.</w:t>
      </w:r>
    </w:p>
    <w:p>
      <w:pPr>
        <w:pStyle w:val="ListBullet"/>
        <w:spacing w:after="80"/>
      </w:pPr>
      <w:r>
        <w:rPr>
          <w:b/>
        </w:rPr>
        <w:t xml:space="preserve">Yanlış Z-ORDER sütunu. </w:t>
      </w:r>
      <w:r>
        <w:t>İş emri satırı tablosunda vin sütunu yok — VIN başlık tablosunda. Optimizasyon adımı iki tabloya da aynı sıralama anahtarını uyguluyordu.</w:t>
      </w:r>
    </w:p>
    <w:p>
      <w:pPr>
        <w:pStyle w:val="ListBullet"/>
        <w:spacing w:after="80"/>
      </w:pPr>
      <w:r>
        <w:rPr>
          <w:b/>
        </w:rPr>
        <w:t xml:space="preserve">unionByName. </w:t>
      </w:r>
      <w:r>
        <w:t>PySpark'ta unionByName aynı anda tek bir DataFrame alır; SQL'deki UNION ALL gibi çoklu değil. Birden fazla kural ihlal ürettiğinde patladı — yani kod ancak gerçekten iş yapınca kırıldı.</w:t>
      </w:r>
    </w:p>
    <w:p>
      <w:pPr>
        <w:pStyle w:val="ListBullet"/>
        <w:spacing w:after="80"/>
      </w:pPr>
      <w:r>
        <w:rPr>
          <w:b/>
        </w:rPr>
        <w:t xml:space="preserve">Şema çıkarımı. </w:t>
      </w:r>
      <w:r>
        <w:t>Bütün kurallar hatasız geçtiğinde error_message sütunu her satırda NULL oluyor ve Spark tamamen boş bir sütunun tipini çıkaramıyor. Yani kod daha sağlıklı çalıştığı için kırıldı. Şemayı açıkça tanımlayarak çözdüm.</w:t>
      </w:r>
    </w:p>
    <w:p>
      <w:pPr>
        <w:pStyle w:val="ListBullet"/>
        <w:spacing w:after="80"/>
      </w:pPr>
      <w:r>
        <w:rPr>
          <w:b/>
        </w:rPr>
        <w:t xml:space="preserve">Virgüllü ondalık. </w:t>
      </w:r>
      <w:r>
        <w:t>Bronze'daki tutarlar hâlâ Türkçe biçimde metin ("1989500,0"). Silver'ı atlayıp doğrudan Bronze'dan okuyan SCD2 geçmiş doldurma prosedürleri bunu sayıya çeviremiyordu. Silver'ın Python tarafında yaptığı dönüşümün T-SQL karşılığını eklemek gerekti.</w:t>
      </w:r>
    </w:p>
    <w:p>
      <w:pPr>
        <w:pStyle w:val="Heading2"/>
      </w:pPr>
      <w:r>
        <w:t>9.8. Bu listeden çıkardığım sonuç</w:t>
      </w:r>
    </w:p>
    <w:p>
      <w:r>
        <w:rPr>
          <w:b w:val="0"/>
          <w:i w:val="0"/>
        </w:rPr>
        <w:t>On sekiz kusurun ortak özelliği şu: hiçbiri kodu okuyarak bulunabilecek türden değildi. Birkaçı yalnızca gerçek veriyle, birkaçı yalnızca gerçek Fabric motoruyla, birkaçı da yalnızca her şey doğru çalışmaya başladığında ortaya çıktı.</w:t>
      </w:r>
    </w:p>
    <w:p>
      <w:r>
        <w:rPr>
          <w:b w:val="0"/>
          <w:i w:val="0"/>
        </w:rPr>
        <w:t>Bu yüzden bu listeyi projenin zayıf tarafı olarak değil, en güçlü tarafı olarak görüyorum. "Kodu yazdım, çalışması lazım" ile "çalıştırdım, şunlar kırıldı, şöyle düzelttim" arasındaki fark, bir veri mühendisinden beklenen farkın kendisi.</w:t>
      </w:r>
    </w:p>
    <w:p>
      <w:pPr>
        <w:pStyle w:val="Heading1"/>
      </w:pPr>
      <w:r>
        <w:t>10. Power BI tarafı</w:t>
      </w:r>
    </w:p>
    <w:p>
      <w:r>
        <w:rPr>
          <w:b w:val="0"/>
          <w:i w:val="0"/>
        </w:rPr>
        <w:t>Warehouse üzerinde Direct Lake modunda bir semantik model kurdum. Direct Lake, Warehouse'un altındaki Delta dosyalarını doğrudan okuyor: import modunun hızı ama yenileme (refresh) adımı olmadan.</w:t>
      </w:r>
    </w:p>
    <w:p>
      <w:r>
        <w:rPr>
          <w:b w:val="0"/>
          <w:i w:val="0"/>
        </w:rPr>
        <w:t>Modele warehouse'taki her tabloyu değil, dokuz tanesini aldım: beş boyut, iki fact, takvim ve servis tipi. Her tabloyu eklemek kolay olurdu ama raporu açan kişinin gördüğü ilk şey alan listesi ve seksen tablolu bir liste, raporun kullanılmamasının en hızlı yolu.</w:t>
      </w:r>
    </w:p>
    <w:p>
      <w:r>
        <w:rPr>
          <w:b w:val="0"/>
          <w:i w:val="0"/>
        </w:rPr>
        <w:t>On bir ilişkinin hepsi tek yönlü ve fact'ten boyuta doğru. Çift yönlü filtreleme hiç kullanmadım — hem belirsiz filtre yolları ürettiği hem de satır düzeyi güvenlikte beklenmedik sızıntılara yol açabildiği için.</w:t>
      </w:r>
    </w:p>
    <w:p>
      <w:r>
        <w:rPr>
          <w:b w:val="0"/>
          <w:i w:val="0"/>
        </w:rPr>
        <w:t>İlişkileri kurarken bir hata yaptım ve hata mesajı öğreticiydi: iki fact tablosu iki ortak boyutu paylaştığında ilişki grafiğinde döngü oluşuyor ve Power BI bunu "belirsiz yol" diye reddediyor. Sebebini aradığımda ilişkilerden birinin kardinalitesinin ters kurulduğunu gördüm — boyut çok (*) tarafta, fact tek (1) tarafta. Düzeltince döngü de kalktı.</w:t>
      </w:r>
    </w:p>
    <w:p>
      <w:r>
        <w:rPr>
          <w:b w:val="0"/>
          <w:i w:val="0"/>
        </w:rPr>
        <w:t>On üç DAX ölçüsü yazdım. En üzerinde durduğum, en sık yanlış yapılan ölçü indirim oranı:</w:t>
      </w:r>
    </w:p>
    <w:p>
      <w:pPr>
        <w:spacing w:before="80" w:after="200" w:line="252" w:lineRule="auto"/>
        <w:ind w:left="360"/>
        <w:shd w:val="clear" w:fill="F4F2EE"/>
      </w:pPr>
      <w:r>
        <w:rPr>
          <w:rFonts w:ascii="Consolas" w:hAnsi="Consolas"/>
          <w:color w:val="333A45"/>
          <w:sz w:val="19"/>
        </w:rPr>
        <w:t>Discount Rate = DIVIDE([Discount Amount], [List Price Amount])</w:t>
      </w:r>
    </w:p>
    <w:p>
      <w:r>
        <w:rPr>
          <w:b w:val="0"/>
          <w:i w:val="0"/>
        </w:rPr>
        <w:t>Sözleşme bazlı indirim oranlarının ortalaması değil. Ortalama, 780 bin liralık bir hatchback ile 3,4 milyon liralık bir SUV'u eşit ağırlıkta sayar; model karması değiştiğinde bu sayı hiç kıpırdamaz. Oysa işletmenin gerçekten kaybettiği para toplam indirimin toplam liste fiyatına oranı.</w:t>
      </w:r>
    </w:p>
    <w:p>
      <w:r>
        <w:rPr>
          <w:b w:val="0"/>
          <w:i w:val="0"/>
        </w:rPr>
        <w:t>Raporda tek sayfa var ve bilinçli olarak tek sayfa: beş KPI kartı, aylık satış trendi, bayi kırılımı, servis tipi dağılımı ve bayi bazında çevrim süresi kırılımı. Bu son görsel raporun en değerli parçası, çünkü "servisimiz yavaş" cümlesini dokunma süresi ve bekleme süresi olarak ikiye ayırıyor.</w:t>
      </w:r>
    </w:p>
    <w:p>
      <w:pPr>
        <w:pStyle w:val="Heading1"/>
      </w:pPr>
      <w:r>
        <w:t>11. Geriye dönüp bakınca</w:t>
      </w:r>
    </w:p>
    <w:p>
      <w:r>
        <w:rPr>
          <w:b w:val="0"/>
          <w:i w:val="0"/>
        </w:rPr>
        <w:t>Üç şeyi farklı yapardım.</w:t>
      </w:r>
    </w:p>
    <w:p>
      <w:pPr>
        <w:pStyle w:val="ListBullet"/>
        <w:spacing w:after="80"/>
      </w:pPr>
      <w:r>
        <w:rPr>
          <w:b/>
        </w:rPr>
        <w:t xml:space="preserve">dim_customer'ın geçmişi yok. </w:t>
      </w:r>
      <w:r>
        <w:t>Diğer bütün Type 2 boyutlar geçmişlerini Bronze'daki aylık snapshot'lardan yeniden üretiyor; müşteri üretmiyor. Çünkü bu, MDM eşleştirmesini her tarihsel noktada yeniden çalıştırmak demekti ve sonucu her noktada meşru olarak farklı çıkabilirdi. Bir günlük iş olarak gördüm ve harcamamayı seçtim — ama bunun bedeli, bir müşterinin 2023'te hangi şehirde yaşadığını soran raporun 2026 şehrini görmesi.</w:t>
      </w:r>
    </w:p>
    <w:p>
      <w:pPr>
        <w:pStyle w:val="ListBullet"/>
        <w:spacing w:after="80"/>
      </w:pPr>
      <w:r>
        <w:rPr>
          <w:b/>
        </w:rPr>
        <w:t xml:space="preserve">PII maskelemesi Silver'da, girişte değil. </w:t>
      </w:r>
      <w:r>
        <w:t>Şu anda Bronze açık TCKN ve telefon numarası tutuyor. Savunulabilir — Bronze yeniden oynatılabilir olmalı ve maskeleme bir dönüşüm — ama gerçek müşteri verisiyle çalışan bir kurulumda Bronze'ın kendisini şifreli ve daha dar erişimli tutmak isterdim. Bunu tasarlamadım.</w:t>
      </w:r>
    </w:p>
    <w:p>
      <w:pPr>
        <w:pStyle w:val="ListBullet"/>
        <w:spacing w:after="80"/>
      </w:pPr>
      <w:r>
        <w:rPr>
          <w:b/>
        </w:rPr>
        <w:t xml:space="preserve">Tek bir tam çalıştırma var. </w:t>
      </w:r>
      <w:r>
        <w:t>Platform uçtan uca bir kez çalıştı. Her notebook kendi idempotentlik testini yapıyor ama zincirin tamamını ikinci kez çalıştırıp aynı sonuçların çıktığını henüz doğrulamadım. Sıradaki iş bu.</w:t>
      </w:r>
    </w:p>
    <w:p>
      <w:pPr>
        <w:spacing w:before="40" w:after="200"/>
        <w:pBdr>
          <w:bottom w:val="single" w:sz="6" w:color="D8D5CF"/>
        </w:pBdr>
      </w:pPr>
    </w:p>
    <w:p>
      <w:r>
        <w:rPr>
          <w:b w:val="0"/>
          <w:i w:val="0"/>
        </w:rPr>
        <w:t>Bu projede en çok işe yarayan alışkanlık şuydu: her iddiayı, iddia olarak bırakmak yerine test edilebilir bir şeye çevirmek. Jeneratör tekrar üretilebilir mi — testi var. Yükleme idempotent mi — testi var. DQ kuralları gerçekten yakalıyor mu — cevap anahtarı var. Fabric bu T-SQL kalıbını destekliyor mu — çalıştırıp gördüm.</w:t>
      </w:r>
    </w:p>
    <w:p>
      <w:r>
        <w:rPr>
          <w:b w:val="0"/>
          <w:i/>
        </w:rPr>
        <w:t>On sekiz kusurun hepsi bu alışkanlıktan çıktı. Hiçbiri kodu daha dikkatli okuyarak bulunamazdı.</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22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mbria" w:hAnsi="Cambria"/>
      <w:b/>
      <w:bCs/>
      <w:color w:val="22252B"/>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mbria" w:hAnsi="Cambria"/>
      <w:b/>
      <w:bCs/>
      <w:color w:val="A84E1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mbria" w:hAnsi="Cambria"/>
      <w:b/>
      <w:bCs/>
      <w:color w:val="2225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