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30" w:rsidRDefault="00580C8F">
      <w:r>
        <w:t xml:space="preserve">Бессеточные методы </w:t>
      </w:r>
    </w:p>
    <w:p w:rsidR="0031296F" w:rsidRDefault="0031296F" w:rsidP="00EE6C79">
      <w:pPr>
        <w:ind w:firstLine="708"/>
      </w:pPr>
      <w:r>
        <w:t>В тех случаях, когда</w:t>
      </w:r>
      <w:r w:rsidR="003878B3">
        <w:t xml:space="preserve"> рассматриваемое</w:t>
      </w:r>
      <w:r>
        <w:t xml:space="preserve"> явление природы может быть </w:t>
      </w:r>
      <w:r w:rsidR="003878B3">
        <w:t>описано</w:t>
      </w:r>
      <w:r>
        <w:t xml:space="preserve"> математически, наиболее вероятно, что</w:t>
      </w:r>
      <w:r w:rsidR="003878B3">
        <w:t xml:space="preserve"> в результате мы придём </w:t>
      </w:r>
      <w:r>
        <w:t>к одному или нескольким дифференциальным уравнениям.</w:t>
      </w:r>
      <w:r w:rsidR="000368A7">
        <w:t xml:space="preserve"> Это всегда имеет место для широкого класса явлений,</w:t>
      </w:r>
      <w:r w:rsidR="00B06DBD">
        <w:t xml:space="preserve"> связанных, например, с силами и движением. </w:t>
      </w:r>
      <w:r w:rsidR="002A1941">
        <w:t xml:space="preserve">Чтобы </w:t>
      </w:r>
      <w:r w:rsidR="00B06DBD">
        <w:t>определить траекторию движения</w:t>
      </w:r>
      <w:r w:rsidR="00D51D7A">
        <w:t xml:space="preserve"> </w:t>
      </w:r>
      <w:r w:rsidR="00B06DBD">
        <w:t>планет или ядерных частиц в ускорителе</w:t>
      </w:r>
      <w:r w:rsidR="002A1941">
        <w:t>,</w:t>
      </w:r>
      <w:r w:rsidR="00D51D7A">
        <w:t xml:space="preserve"> мы должны обратиться к интегрированию дифференциальных уравнений.</w:t>
      </w:r>
      <w:r w:rsidR="00866ADC">
        <w:t xml:space="preserve"> В </w:t>
      </w:r>
      <w:r w:rsidR="00084D12">
        <w:t>э</w:t>
      </w:r>
      <w:r w:rsidR="00866ADC">
        <w:t>лектронике,</w:t>
      </w:r>
      <w:r w:rsidR="00084D12">
        <w:t xml:space="preserve"> радиотехнике,</w:t>
      </w:r>
      <w:r w:rsidR="00866ADC">
        <w:t xml:space="preserve"> </w:t>
      </w:r>
      <w:r w:rsidR="00084D12">
        <w:t xml:space="preserve">электротехнике, </w:t>
      </w:r>
      <w:r w:rsidR="00866ADC">
        <w:t>гидро- и аэро</w:t>
      </w:r>
      <w:r w:rsidR="00084D12">
        <w:t xml:space="preserve">динамике, теплотехнике, </w:t>
      </w:r>
      <w:r w:rsidR="005079E7">
        <w:t>физике, химии, биоло</w:t>
      </w:r>
      <w:r w:rsidR="00F55634">
        <w:t>гии и во многих других областях большое количество задач также сводится к дифференциальным уравнениям.</w:t>
      </w:r>
      <w:r w:rsidR="004E4A61">
        <w:t xml:space="preserve"> Однако, несмотря на все усилия, число типов дифференциальных уравнений, разрешимых в замкнутом виде или в квадратурах, остаётся очень ограниченным.</w:t>
      </w:r>
      <w:r w:rsidR="003A1947">
        <w:t xml:space="preserve"> Поэтому в настоящее время существует множество проблем, точно сформулированных в виде дифференциальных уравнений, </w:t>
      </w:r>
      <w:r w:rsidR="00A67222">
        <w:t xml:space="preserve">но </w:t>
      </w:r>
      <w:r w:rsidR="003A1947">
        <w:t xml:space="preserve">решения которых </w:t>
      </w:r>
      <w:r w:rsidR="001703ED">
        <w:t>до сих пор</w:t>
      </w:r>
      <w:r w:rsidR="003A1947">
        <w:t xml:space="preserve"> не найдены.</w:t>
      </w:r>
    </w:p>
    <w:p w:rsidR="007C0B05" w:rsidRDefault="00333C39" w:rsidP="00EE6C79">
      <w:pPr>
        <w:ind w:firstLine="708"/>
      </w:pPr>
      <w:r>
        <w:t xml:space="preserve">Всё это привело к </w:t>
      </w:r>
      <w:r w:rsidR="00A67222">
        <w:t>тому, что наряду с аналитическими и приближёнными методами начали широко применятся</w:t>
      </w:r>
      <w:r>
        <w:t xml:space="preserve"> численны</w:t>
      </w:r>
      <w:r w:rsidR="00A67222">
        <w:t>е</w:t>
      </w:r>
      <w:r>
        <w:t xml:space="preserve"> метод</w:t>
      </w:r>
      <w:r w:rsidR="00A67222">
        <w:t>ы</w:t>
      </w:r>
      <w:r>
        <w:t xml:space="preserve"> решения дифференциальных уравнений</w:t>
      </w:r>
      <w:r w:rsidR="00671E15">
        <w:t>. Р</w:t>
      </w:r>
      <w:r w:rsidR="003550F8">
        <w:t xml:space="preserve">оль </w:t>
      </w:r>
      <w:r w:rsidR="00A67222">
        <w:t>численных метод</w:t>
      </w:r>
      <w:r w:rsidR="007271BC">
        <w:t>ов</w:t>
      </w:r>
      <w:r w:rsidR="00A67222">
        <w:t xml:space="preserve"> стала особенно </w:t>
      </w:r>
      <w:r w:rsidR="0077591C">
        <w:t xml:space="preserve">значимой </w:t>
      </w:r>
      <w:r w:rsidR="00A67222">
        <w:t xml:space="preserve">благодаря </w:t>
      </w:r>
      <w:r w:rsidR="0077591C">
        <w:t>стремительному</w:t>
      </w:r>
      <w:r w:rsidR="00742694">
        <w:t xml:space="preserve"> </w:t>
      </w:r>
      <w:r w:rsidR="0077591C">
        <w:t>прогрессу вычислительной техники</w:t>
      </w:r>
      <w:r w:rsidR="007271BC">
        <w:t xml:space="preserve"> последних лет. </w:t>
      </w:r>
      <w:r w:rsidR="0077591C">
        <w:t xml:space="preserve"> </w:t>
      </w:r>
      <w:r w:rsidR="003C1D93">
        <w:t>Повсеместная д</w:t>
      </w:r>
      <w:r w:rsidR="0077591C">
        <w:t xml:space="preserve">оступность </w:t>
      </w:r>
      <w:r w:rsidR="003C1D93">
        <w:t xml:space="preserve">компьютеров с высокой </w:t>
      </w:r>
      <w:r w:rsidR="0077591C">
        <w:t>производительностью</w:t>
      </w:r>
      <w:r w:rsidR="00860378">
        <w:t xml:space="preserve"> </w:t>
      </w:r>
      <w:r w:rsidR="00132E53">
        <w:t xml:space="preserve">не только позволяет с успехом применять на практике </w:t>
      </w:r>
      <w:r w:rsidR="007271BC">
        <w:t>существующи</w:t>
      </w:r>
      <w:r w:rsidR="00132E53">
        <w:t>е</w:t>
      </w:r>
      <w:r w:rsidR="007271BC">
        <w:t xml:space="preserve"> численны</w:t>
      </w:r>
      <w:r w:rsidR="00132E53">
        <w:t>е</w:t>
      </w:r>
      <w:r w:rsidR="007271BC">
        <w:t xml:space="preserve"> метод</w:t>
      </w:r>
      <w:r w:rsidR="00132E53">
        <w:t>ы</w:t>
      </w:r>
      <w:r w:rsidR="007271BC">
        <w:t>, таки</w:t>
      </w:r>
      <w:r w:rsidR="00132E53">
        <w:t>е</w:t>
      </w:r>
      <w:r w:rsidR="007271BC">
        <w:t xml:space="preserve"> как метод конечных элементов</w:t>
      </w:r>
      <w:r w:rsidR="00132E53">
        <w:t xml:space="preserve">, но и позволяет </w:t>
      </w:r>
      <w:r w:rsidR="00AD0B3B">
        <w:t>ожидать появления</w:t>
      </w:r>
      <w:r w:rsidR="00132E53">
        <w:t xml:space="preserve"> в ближайшие годы новых,</w:t>
      </w:r>
      <w:r w:rsidR="007271BC">
        <w:t xml:space="preserve"> более совершенных методов</w:t>
      </w:r>
      <w:r w:rsidR="00132E53">
        <w:t xml:space="preserve"> компьютерного анализа</w:t>
      </w:r>
      <w:r w:rsidR="007271BC">
        <w:t>.</w:t>
      </w:r>
    </w:p>
    <w:p w:rsidR="007271BC" w:rsidRDefault="007271BC" w:rsidP="00EE6C79">
      <w:pPr>
        <w:ind w:firstLine="708"/>
      </w:pPr>
      <w:r>
        <w:t xml:space="preserve">Описанию одного из перспективных </w:t>
      </w:r>
      <w:r w:rsidR="007C0B05">
        <w:t xml:space="preserve">численных </w:t>
      </w:r>
      <w:r>
        <w:t xml:space="preserve">методов </w:t>
      </w:r>
      <w:r w:rsidR="007C0B05">
        <w:t xml:space="preserve">и </w:t>
      </w:r>
      <w:r>
        <w:t xml:space="preserve">посвящена настоящая </w:t>
      </w:r>
      <w:r w:rsidR="007C0B05">
        <w:t>работа</w:t>
      </w:r>
      <w:r>
        <w:t>.</w:t>
      </w:r>
    </w:p>
    <w:p w:rsidR="00603E96" w:rsidRDefault="0022552A" w:rsidP="00A35686">
      <w:pPr>
        <w:ind w:firstLine="708"/>
      </w:pPr>
      <w:r>
        <w:t xml:space="preserve">С 30-х годов </w:t>
      </w:r>
      <w:r>
        <w:rPr>
          <w:lang w:val="en-US"/>
        </w:rPr>
        <w:t>XX</w:t>
      </w:r>
      <w:r>
        <w:t xml:space="preserve"> века</w:t>
      </w:r>
      <w:r w:rsidR="00462D7C">
        <w:t xml:space="preserve"> для решения</w:t>
      </w:r>
      <w:r w:rsidR="0099686E">
        <w:t xml:space="preserve"> дифференциальных уравнений </w:t>
      </w:r>
      <w:r>
        <w:t>начали применять метод конечных разност</w:t>
      </w:r>
      <w:r w:rsidR="00A419BA">
        <w:t xml:space="preserve">ей (МКР), с </w:t>
      </w:r>
      <w:r w:rsidR="00C0474B">
        <w:t>60-х и по настоящее время широко применя</w:t>
      </w:r>
      <w:r w:rsidR="008069E0">
        <w:t>ю</w:t>
      </w:r>
      <w:r w:rsidR="00C0474B">
        <w:t>тся метод конечных элементов (МКЭ)</w:t>
      </w:r>
      <w:r w:rsidR="00603E96">
        <w:t xml:space="preserve"> и метод конечных объёмов (МКО)</w:t>
      </w:r>
      <w:r w:rsidR="00C0474B">
        <w:t>.</w:t>
      </w:r>
      <w:r w:rsidR="008069E0">
        <w:t xml:space="preserve"> Общим у </w:t>
      </w:r>
      <w:r w:rsidR="001752BE">
        <w:t xml:space="preserve">перечисленных </w:t>
      </w:r>
      <w:r w:rsidR="008069E0">
        <w:t>методов</w:t>
      </w:r>
      <w:r w:rsidR="00126BEC">
        <w:t xml:space="preserve"> (здесь и далее будем называть их «сеточные»)</w:t>
      </w:r>
      <w:r w:rsidR="008069E0">
        <w:t xml:space="preserve"> является то, что в их основу положена идея о замене области непрерывного изменения аргумента</w:t>
      </w:r>
      <w:r w:rsidR="007C27DC">
        <w:t xml:space="preserve"> некоторым</w:t>
      </w:r>
      <w:r w:rsidR="008069E0">
        <w:t xml:space="preserve"> конечным (дискретным) множеством точек (узлов), </w:t>
      </w:r>
      <w:r w:rsidR="004B45C9">
        <w:t>соединённых между собой определённым образом для формирования сетки</w:t>
      </w:r>
      <w:r w:rsidR="008069E0">
        <w:t>.</w:t>
      </w:r>
      <w:r w:rsidR="00F97A2B">
        <w:t xml:space="preserve"> Вместо функций непрерывного аргумента рассматривают функции, опре</w:t>
      </w:r>
      <w:r w:rsidR="008B22AE">
        <w:t>деленные только в узлах сетки</w:t>
      </w:r>
      <w:r w:rsidR="00F97A2B">
        <w:t>.</w:t>
      </w:r>
      <w:r w:rsidR="0057589D">
        <w:t xml:space="preserve"> Таким образом, система дифференциальных уравнений заменяется системой алгебраических уравнений</w:t>
      </w:r>
      <w:r w:rsidR="00A61DC5">
        <w:t xml:space="preserve"> </w:t>
      </w:r>
      <w:r w:rsidR="00C81EF1">
        <w:t>для</w:t>
      </w:r>
      <w:r w:rsidR="00A61DC5">
        <w:t xml:space="preserve"> сетки</w:t>
      </w:r>
      <w:r w:rsidR="00CD04BC">
        <w:t>.</w:t>
      </w:r>
    </w:p>
    <w:p w:rsidR="00A419BA" w:rsidRDefault="008B54BB" w:rsidP="008B54BB">
      <w:pPr>
        <w:jc w:val="center"/>
      </w:pPr>
      <w:r>
        <w:rPr>
          <w:noProof/>
          <w:lang w:eastAsia="ru-RU"/>
        </w:rPr>
        <w:drawing>
          <wp:inline distT="0" distB="0" distL="0" distR="0" wp14:anchorId="780B0B43" wp14:editId="5ABC13F5">
            <wp:extent cx="2632361" cy="2846567"/>
            <wp:effectExtent l="19050" t="19050" r="15875" b="11430"/>
            <wp:docPr id="1" name="Рисунок 1" descr="http://www.maxx-engineering.th.com/contents/pictures/FiniteElementAnalysis/b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xx-engineering.th.com/contents/pictures/FiniteElementAnalysis/brack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1" cy="2861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D2031" w:rsidRPr="007D2031">
        <w:rPr>
          <w:noProof/>
          <w:lang w:eastAsia="ru-RU"/>
        </w:rPr>
        <w:drawing>
          <wp:inline distT="0" distB="0" distL="0" distR="0" wp14:anchorId="5459D590" wp14:editId="1562D2C0">
            <wp:extent cx="2179521" cy="2846108"/>
            <wp:effectExtent l="19050" t="19050" r="11430" b="11430"/>
            <wp:docPr id="3" name="Объект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56" cy="28487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203C" w:rsidRDefault="00E3203C" w:rsidP="00E3203C">
      <w:pPr>
        <w:pStyle w:val="a3"/>
        <w:jc w:val="center"/>
      </w:pPr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CE487D" w:rsidRPr="008A7E7D">
        <w:rPr>
          <w:noProof/>
        </w:rPr>
        <w:t>1</w:t>
      </w:r>
      <w:r>
        <w:fldChar w:fldCharType="end"/>
      </w:r>
      <w:r w:rsidRPr="009F2A2F">
        <w:t xml:space="preserve">. </w:t>
      </w:r>
      <w:r w:rsidR="001902F1">
        <w:t>Ко</w:t>
      </w:r>
      <w:r w:rsidR="005C03C6">
        <w:t>нечно-элементные сетки</w:t>
      </w:r>
    </w:p>
    <w:p w:rsidR="005D58FA" w:rsidRDefault="00822321" w:rsidP="00126BEC">
      <w:pPr>
        <w:ind w:firstLine="708"/>
      </w:pPr>
      <w:r>
        <w:lastRenderedPageBreak/>
        <w:t>МКЭ на сегодня</w:t>
      </w:r>
      <w:r w:rsidR="00F515B2">
        <w:t xml:space="preserve"> является</w:t>
      </w:r>
      <w:r w:rsidR="00C809CA">
        <w:t xml:space="preserve"> стандартом «де-факто» для решения широкого круга научных и инженерных задач. МКЭ</w:t>
      </w:r>
      <w:r w:rsidR="00F515B2">
        <w:t xml:space="preserve"> </w:t>
      </w:r>
      <w:r>
        <w:t xml:space="preserve">реализован во многих </w:t>
      </w:r>
      <w:r w:rsidR="00F515B2">
        <w:t xml:space="preserve">как </w:t>
      </w:r>
      <w:r>
        <w:t>коммерческих</w:t>
      </w:r>
      <w:r w:rsidR="00F515B2">
        <w:t>, так и</w:t>
      </w:r>
      <w:r>
        <w:t xml:space="preserve"> свободно распространяемых пакетах</w:t>
      </w:r>
      <w:r w:rsidR="00C809CA">
        <w:t>, поэтому в дальнейшем мы будем часто возвращаться и делать сравнения с ним.</w:t>
      </w:r>
    </w:p>
    <w:p w:rsidR="009B3524" w:rsidRDefault="00F31859" w:rsidP="00D80A8E">
      <w:pPr>
        <w:ind w:firstLine="708"/>
      </w:pPr>
      <w:r>
        <w:t>Основным</w:t>
      </w:r>
      <w:r w:rsidR="006F5B65">
        <w:t xml:space="preserve"> недостатко</w:t>
      </w:r>
      <w:r w:rsidR="00A075D2">
        <w:t xml:space="preserve">м применения МКЭ </w:t>
      </w:r>
      <w:r w:rsidR="006F5B65">
        <w:t xml:space="preserve">и сеточных методов </w:t>
      </w:r>
      <w:r w:rsidR="00126BEC">
        <w:t>в целом</w:t>
      </w:r>
      <w:r w:rsidR="006F5B65">
        <w:t xml:space="preserve"> является </w:t>
      </w:r>
      <w:r w:rsidR="009526CD">
        <w:t>необходимость</w:t>
      </w:r>
      <w:r w:rsidR="00126BEC">
        <w:t xml:space="preserve"> </w:t>
      </w:r>
      <w:r w:rsidR="009526CD">
        <w:t>создания</w:t>
      </w:r>
      <w:r w:rsidR="00126BEC">
        <w:t xml:space="preserve"> сетки.</w:t>
      </w:r>
      <w:r w:rsidR="0084157F">
        <w:t xml:space="preserve"> Дело в том, что пользователи пакетов МКЭ вынуждены б</w:t>
      </w:r>
      <w:r w:rsidR="0084157F" w:rsidRPr="0084157F">
        <w:rPr>
          <w:b/>
        </w:rPr>
        <w:t>о</w:t>
      </w:r>
      <w:r w:rsidR="0084157F">
        <w:t xml:space="preserve">льшую часть </w:t>
      </w:r>
      <w:r>
        <w:t>рабочего</w:t>
      </w:r>
      <w:r w:rsidR="0084157F">
        <w:t xml:space="preserve"> времени тратить на создание сетки</w:t>
      </w:r>
      <w:r w:rsidR="001D3A9E">
        <w:t xml:space="preserve"> конечных элементов</w:t>
      </w:r>
      <w:r w:rsidR="0084157F">
        <w:t>.</w:t>
      </w:r>
      <w:r w:rsidR="0080721E">
        <w:t xml:space="preserve"> Хотя существуют специальные приложения,</w:t>
      </w:r>
      <w:r w:rsidR="001E2B68">
        <w:t xml:space="preserve"> </w:t>
      </w:r>
      <w:r w:rsidR="0080721E">
        <w:t xml:space="preserve">позволяющие частично автоматизировать </w:t>
      </w:r>
      <w:r w:rsidR="00485297">
        <w:t xml:space="preserve">этот </w:t>
      </w:r>
      <w:r w:rsidR="0080721E">
        <w:t xml:space="preserve">процесс, тем не </w:t>
      </w:r>
      <w:r w:rsidR="00445872">
        <w:t>менее,</w:t>
      </w:r>
      <w:r w:rsidR="0080721E">
        <w:t xml:space="preserve"> полностью</w:t>
      </w:r>
      <w:r w:rsidR="009B3524">
        <w:t xml:space="preserve"> заменить человека здесь нельзя, а</w:t>
      </w:r>
      <w:r w:rsidR="0080721E">
        <w:t xml:space="preserve"> </w:t>
      </w:r>
      <w:r w:rsidR="009B3524">
        <w:t>п</w:t>
      </w:r>
      <w:r w:rsidR="00D80A8E">
        <w:t xml:space="preserve">оскольку стоимость машинного времени </w:t>
      </w:r>
      <w:r w:rsidR="009B3524">
        <w:t>сегодня во много раз меньше с</w:t>
      </w:r>
      <w:r w:rsidR="001E2B68">
        <w:t>тоимость «ручного» труда</w:t>
      </w:r>
      <w:r w:rsidR="009B3524">
        <w:t xml:space="preserve"> квалифицированного специалиста</w:t>
      </w:r>
      <w:r w:rsidR="00006F1B">
        <w:t>, то решающий</w:t>
      </w:r>
      <w:r w:rsidR="009B3524">
        <w:t xml:space="preserve"> </w:t>
      </w:r>
      <w:r w:rsidR="00006F1B">
        <w:t>вклад</w:t>
      </w:r>
      <w:r w:rsidR="009B3524">
        <w:t xml:space="preserve"> </w:t>
      </w:r>
      <w:r w:rsidR="00006F1B">
        <w:t>в</w:t>
      </w:r>
      <w:r w:rsidR="009B3524">
        <w:t xml:space="preserve"> стоимость</w:t>
      </w:r>
      <w:r w:rsidR="009B3524" w:rsidRPr="009B3524">
        <w:t xml:space="preserve"> </w:t>
      </w:r>
      <w:r w:rsidR="00485297">
        <w:t>работы с МКЭ</w:t>
      </w:r>
      <w:r w:rsidR="009B3524">
        <w:t xml:space="preserve"> </w:t>
      </w:r>
      <w:r w:rsidR="00006F1B">
        <w:t xml:space="preserve">оказывает </w:t>
      </w:r>
      <w:r>
        <w:t xml:space="preserve">трудоёмкость </w:t>
      </w:r>
      <w:r w:rsidR="009F2A2F" w:rsidRPr="009F2A2F">
        <w:t>“</w:t>
      </w:r>
      <w:r w:rsidR="009F2A2F">
        <w:t>ручного</w:t>
      </w:r>
      <w:r w:rsidR="009F2A2F" w:rsidRPr="009F2A2F">
        <w:t xml:space="preserve">” </w:t>
      </w:r>
      <w:r>
        <w:t>создания</w:t>
      </w:r>
      <w:r w:rsidR="00006F1B">
        <w:t xml:space="preserve"> сетки</w:t>
      </w:r>
      <w:r w:rsidR="00C55F29">
        <w:t xml:space="preserve"> </w:t>
      </w:r>
      <w:r w:rsidR="004B45C9">
        <w:t>инженером</w:t>
      </w:r>
      <w:r w:rsidR="00006F1B">
        <w:t>.</w:t>
      </w:r>
    </w:p>
    <w:p w:rsidR="00581515" w:rsidRDefault="00B14941" w:rsidP="00E86C9D">
      <w:pPr>
        <w:ind w:firstLine="708"/>
      </w:pPr>
      <w:r>
        <w:t>С</w:t>
      </w:r>
      <w:r w:rsidR="004B45C9">
        <w:t xml:space="preserve"> 90-х годов </w:t>
      </w:r>
      <w:r>
        <w:rPr>
          <w:lang w:val="en-US"/>
        </w:rPr>
        <w:t>XX</w:t>
      </w:r>
      <w:r w:rsidRPr="00B14941">
        <w:t xml:space="preserve"> </w:t>
      </w:r>
      <w:r>
        <w:t xml:space="preserve">века </w:t>
      </w:r>
      <w:r w:rsidR="00445872">
        <w:t xml:space="preserve">в западной литературе </w:t>
      </w:r>
      <w:r w:rsidR="004B45C9">
        <w:t>на</w:t>
      </w:r>
      <w:r w:rsidR="00445872">
        <w:t>чинаю</w:t>
      </w:r>
      <w:r w:rsidR="004B45C9">
        <w:t>т</w:t>
      </w:r>
      <w:r w:rsidR="00581515">
        <w:t xml:space="preserve"> появляться сообщения о р</w:t>
      </w:r>
      <w:r w:rsidR="00445872">
        <w:t>азработках в области</w:t>
      </w:r>
      <w:r w:rsidR="00581515">
        <w:t xml:space="preserve"> новых</w:t>
      </w:r>
      <w:r w:rsidR="00FE4377">
        <w:t xml:space="preserve">, так называемых </w:t>
      </w:r>
      <w:r w:rsidR="00E86C9D">
        <w:t xml:space="preserve">«бессеточных» </w:t>
      </w:r>
      <w:r w:rsidR="00581515">
        <w:t>методов</w:t>
      </w:r>
      <w:r w:rsidR="00445872">
        <w:t xml:space="preserve">, которые в перспективе могут </w:t>
      </w:r>
      <w:r w:rsidR="00581515">
        <w:t xml:space="preserve">привести к резкому сокращению стоимости и длительности процесса разработки новых </w:t>
      </w:r>
      <w:r w:rsidR="00B80E89">
        <w:t xml:space="preserve">промышленных </w:t>
      </w:r>
      <w:r w:rsidR="00581515">
        <w:t xml:space="preserve">изделий. </w:t>
      </w:r>
      <w:r w:rsidR="00E86C9D">
        <w:t>В самом деле, если может быть разраб</w:t>
      </w:r>
      <w:r w:rsidR="00FE4377">
        <w:t>отан такой</w:t>
      </w:r>
      <w:r w:rsidR="00E86C9D">
        <w:t xml:space="preserve"> метод</w:t>
      </w:r>
      <w:r w:rsidR="00581515">
        <w:t xml:space="preserve">, для использования </w:t>
      </w:r>
      <w:r w:rsidR="00FE4377">
        <w:t xml:space="preserve">которого </w:t>
      </w:r>
      <w:r w:rsidR="00E86C9D">
        <w:t>не</w:t>
      </w:r>
      <w:r w:rsidR="00581515">
        <w:t xml:space="preserve"> </w:t>
      </w:r>
      <w:r w:rsidR="00E86C9D">
        <w:t>требуется</w:t>
      </w:r>
      <w:r w:rsidR="00581515">
        <w:t xml:space="preserve"> подготавливать сетки конечных элементов, </w:t>
      </w:r>
      <w:r w:rsidR="00E86C9D">
        <w:t>то</w:t>
      </w:r>
      <w:r w:rsidR="00581515">
        <w:t xml:space="preserve"> процесс инженерного анализа может быть </w:t>
      </w:r>
      <w:r w:rsidR="00E13D06">
        <w:t>почти</w:t>
      </w:r>
      <w:r w:rsidR="00581515">
        <w:t xml:space="preserve"> полностью автоматизирован.</w:t>
      </w:r>
    </w:p>
    <w:p w:rsidR="00FE4377" w:rsidRDefault="00305BFE" w:rsidP="00E86C9D">
      <w:pPr>
        <w:ind w:firstLine="708"/>
      </w:pPr>
      <w:r>
        <w:t>Основные из известных на сегодня</w:t>
      </w:r>
      <w:r w:rsidR="005D0FC8">
        <w:t xml:space="preserve"> из открытой печати</w:t>
      </w:r>
      <w:r>
        <w:t xml:space="preserve"> «</w:t>
      </w:r>
      <w:r w:rsidR="005D0FC8">
        <w:t>бессеточные</w:t>
      </w:r>
      <w:r>
        <w:t>»</w:t>
      </w:r>
      <w:r w:rsidR="005D0FC8">
        <w:t xml:space="preserve"> методы следующие</w:t>
      </w:r>
      <w:r>
        <w:t>:</w:t>
      </w:r>
    </w:p>
    <w:p w:rsidR="00445872" w:rsidRDefault="00445872" w:rsidP="00305BFE">
      <w:pPr>
        <w:pStyle w:val="a6"/>
        <w:numPr>
          <w:ilvl w:val="0"/>
          <w:numId w:val="2"/>
        </w:numPr>
      </w:pPr>
      <w:r>
        <w:t xml:space="preserve">бессеточный метод Галеркина </w:t>
      </w:r>
      <w:r w:rsidR="00305BFE">
        <w:fldChar w:fldCharType="begin"/>
      </w:r>
      <w:r w:rsidR="00305BFE">
        <w:instrText xml:space="preserve"> REF _Ref470878982 \r \h </w:instrText>
      </w:r>
      <w:r w:rsidR="00305BFE">
        <w:fldChar w:fldCharType="separate"/>
      </w:r>
      <w:r w:rsidR="00305BFE">
        <w:t>[1]</w:t>
      </w:r>
      <w:r w:rsidR="00305BFE">
        <w:fldChar w:fldCharType="end"/>
      </w:r>
      <w:r w:rsidR="00305BFE">
        <w:t>;</w:t>
      </w:r>
    </w:p>
    <w:p w:rsidR="00305BFE" w:rsidRDefault="00F8612C" w:rsidP="00305BFE">
      <w:pPr>
        <w:pStyle w:val="a6"/>
        <w:numPr>
          <w:ilvl w:val="0"/>
          <w:numId w:val="2"/>
        </w:numPr>
      </w:pPr>
      <w:r>
        <w:t>б</w:t>
      </w:r>
      <w:r w:rsidR="00305BFE">
        <w:t xml:space="preserve">ессеточный локальный метод Петрова – Галеркина </w:t>
      </w:r>
      <w:r w:rsidR="0075069A">
        <w:fldChar w:fldCharType="begin"/>
      </w:r>
      <w:r w:rsidR="0075069A">
        <w:instrText xml:space="preserve"> REF _Ref470879078 \r \h </w:instrText>
      </w:r>
      <w:r w:rsidR="0075069A">
        <w:fldChar w:fldCharType="separate"/>
      </w:r>
      <w:r w:rsidR="0075069A">
        <w:t>[2]</w:t>
      </w:r>
      <w:r w:rsidR="0075069A">
        <w:fldChar w:fldCharType="end"/>
      </w:r>
      <w:r w:rsidR="0075069A">
        <w:t>;</w:t>
      </w:r>
    </w:p>
    <w:p w:rsidR="00766023" w:rsidRDefault="00F8612C" w:rsidP="00305BFE">
      <w:pPr>
        <w:pStyle w:val="a6"/>
        <w:numPr>
          <w:ilvl w:val="0"/>
          <w:numId w:val="2"/>
        </w:numPr>
      </w:pPr>
      <w:r>
        <w:t xml:space="preserve">метод точечных интерполяций </w:t>
      </w:r>
      <w:r w:rsidR="008277BF">
        <w:fldChar w:fldCharType="begin"/>
      </w:r>
      <w:r w:rsidR="008277BF">
        <w:instrText xml:space="preserve"> REF _Ref470879553 \r \h </w:instrText>
      </w:r>
      <w:r w:rsidR="008277BF">
        <w:fldChar w:fldCharType="separate"/>
      </w:r>
      <w:r w:rsidR="008277BF">
        <w:t>[3]</w:t>
      </w:r>
      <w:r w:rsidR="008277BF">
        <w:fldChar w:fldCharType="end"/>
      </w:r>
      <w:r w:rsidR="008628A1">
        <w:t>;</w:t>
      </w:r>
    </w:p>
    <w:p w:rsidR="00F8612C" w:rsidRDefault="00F8612C" w:rsidP="00305BFE">
      <w:pPr>
        <w:pStyle w:val="a6"/>
        <w:numPr>
          <w:ilvl w:val="0"/>
          <w:numId w:val="2"/>
        </w:numPr>
      </w:pPr>
      <w:r>
        <w:t xml:space="preserve">метод конечных точек </w:t>
      </w:r>
      <w:r w:rsidR="008277BF">
        <w:fldChar w:fldCharType="begin"/>
      </w:r>
      <w:r w:rsidR="008277BF">
        <w:instrText xml:space="preserve"> REF _Ref470879556 \r \h </w:instrText>
      </w:r>
      <w:r w:rsidR="008277BF">
        <w:fldChar w:fldCharType="separate"/>
      </w:r>
      <w:r w:rsidR="008277BF">
        <w:t>[4]</w:t>
      </w:r>
      <w:r w:rsidR="008277BF">
        <w:fldChar w:fldCharType="end"/>
      </w:r>
      <w:r w:rsidR="008628A1">
        <w:t>.</w:t>
      </w:r>
    </w:p>
    <w:p w:rsidR="00445872" w:rsidRPr="00CE487D" w:rsidRDefault="00886BF4" w:rsidP="00CE487D">
      <w:pPr>
        <w:jc w:val="right"/>
        <w:rPr>
          <w:b/>
        </w:rPr>
      </w:pPr>
      <w:r>
        <w:rPr>
          <w:b/>
        </w:rPr>
        <w:t>Алгоритмы</w:t>
      </w:r>
      <w:r w:rsidR="000825FB" w:rsidRPr="00CE487D">
        <w:rPr>
          <w:b/>
        </w:rPr>
        <w:t xml:space="preserve"> «бессеточных»</w:t>
      </w:r>
      <w:r>
        <w:rPr>
          <w:b/>
        </w:rPr>
        <w:t xml:space="preserve"> методов</w:t>
      </w:r>
    </w:p>
    <w:p w:rsidR="00F87BB4" w:rsidRDefault="00841077" w:rsidP="001042C6">
      <w:pPr>
        <w:ind w:firstLine="708"/>
        <w:rPr>
          <w:noProof/>
          <w:lang w:eastAsia="ru-RU"/>
        </w:rPr>
      </w:pPr>
      <w:r>
        <w:t xml:space="preserve">Для </w:t>
      </w:r>
      <w:r w:rsidR="001042C6">
        <w:t>иллюстрации</w:t>
      </w:r>
      <w:r>
        <w:t xml:space="preserve"> </w:t>
      </w:r>
      <w:r w:rsidR="001042C6">
        <w:t>изложенного</w:t>
      </w:r>
      <w:r>
        <w:t>, н</w:t>
      </w:r>
      <w:r w:rsidR="00B92852">
        <w:t xml:space="preserve">а рис. 2 показано </w:t>
      </w:r>
      <w:r w:rsidR="00F87BB4">
        <w:t xml:space="preserve">сравнение двух подходов. На виде (а)  </w:t>
      </w:r>
      <w:r w:rsidR="00B92852">
        <w:t>детал</w:t>
      </w:r>
      <w:r w:rsidR="00F87BB4">
        <w:t>ь подготовлена</w:t>
      </w:r>
      <w:r w:rsidR="00B92852">
        <w:t xml:space="preserve"> для МКЭ</w:t>
      </w:r>
      <w:r>
        <w:t xml:space="preserve"> решателя</w:t>
      </w:r>
      <w:r w:rsidR="00F87BB4">
        <w:t xml:space="preserve"> и</w:t>
      </w:r>
      <w:r>
        <w:t xml:space="preserve"> </w:t>
      </w:r>
      <w:r w:rsidR="00F87BB4">
        <w:t>представляет собой сетку</w:t>
      </w:r>
      <w:r>
        <w:t xml:space="preserve"> конечных элементов</w:t>
      </w:r>
      <w:r w:rsidR="00F87BB4">
        <w:t>.</w:t>
      </w:r>
      <w:r>
        <w:t xml:space="preserve"> </w:t>
      </w:r>
      <w:r w:rsidR="00F87BB4">
        <w:t xml:space="preserve"> На виде (б) из МКЭ сетки удалены все связи между узлами (элементы) так, что остались только узлы, на основе которых</w:t>
      </w:r>
      <w:r w:rsidR="005A0816">
        <w:t xml:space="preserve"> и будет</w:t>
      </w:r>
      <w:r w:rsidR="00F87BB4">
        <w:t xml:space="preserve"> </w:t>
      </w:r>
      <w:r w:rsidR="005A0816">
        <w:t xml:space="preserve">найдено </w:t>
      </w:r>
      <w:r w:rsidR="00F87BB4">
        <w:t>решение задачи «бессеточным» методом.</w:t>
      </w:r>
      <w:r w:rsidR="007D2031" w:rsidRPr="007D2031">
        <w:rPr>
          <w:noProof/>
          <w:lang w:eastAsia="ru-RU"/>
        </w:rPr>
        <w:t xml:space="preserve"> </w:t>
      </w:r>
    </w:p>
    <w:p w:rsidR="00B016A9" w:rsidRDefault="00B016A9" w:rsidP="001042C6">
      <w:pPr>
        <w:ind w:firstLine="708"/>
      </w:pPr>
    </w:p>
    <w:p w:rsidR="00B259CB" w:rsidRDefault="00CE487D" w:rsidP="00CE487D">
      <w:pPr>
        <w:jc w:val="center"/>
      </w:pPr>
      <w:r w:rsidRPr="00CE487D">
        <w:rPr>
          <w:noProof/>
          <w:lang w:eastAsia="ru-RU"/>
        </w:rPr>
        <w:lastRenderedPageBreak/>
        <w:drawing>
          <wp:inline distT="0" distB="0" distL="0" distR="0" wp14:anchorId="117A18FD" wp14:editId="141D6BA5">
            <wp:extent cx="3960954" cy="3943350"/>
            <wp:effectExtent l="19050" t="19050" r="20955" b="1905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32" cy="3956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E487D" w:rsidRDefault="00CE487D" w:rsidP="00CE487D">
      <w:pPr>
        <w:pStyle w:val="a3"/>
        <w:jc w:val="center"/>
      </w:pPr>
      <w:r>
        <w:t xml:space="preserve">Рис. </w:t>
      </w:r>
      <w:r w:rsidR="00203070">
        <w:fldChar w:fldCharType="begin"/>
      </w:r>
      <w:r w:rsidR="00203070">
        <w:instrText xml:space="preserve"> SEQ Рис. \* ARABIC </w:instrText>
      </w:r>
      <w:r w:rsidR="00203070">
        <w:fldChar w:fldCharType="separate"/>
      </w:r>
      <w:r>
        <w:rPr>
          <w:noProof/>
        </w:rPr>
        <w:t>2</w:t>
      </w:r>
      <w:r w:rsidR="00203070">
        <w:rPr>
          <w:noProof/>
        </w:rPr>
        <w:fldChar w:fldCharType="end"/>
      </w:r>
      <w:r>
        <w:t xml:space="preserve"> Сравнение сеточного и бессеточного подходов</w:t>
      </w:r>
    </w:p>
    <w:p w:rsidR="00CE487D" w:rsidRPr="00CE487D" w:rsidRDefault="0043470A" w:rsidP="0043470A">
      <w:pPr>
        <w:jc w:val="center"/>
      </w:pPr>
      <w:r>
        <w:rPr>
          <w:noProof/>
          <w:lang w:eastAsia="ru-RU"/>
        </w:rPr>
        <w:drawing>
          <wp:inline distT="0" distB="0" distL="0" distR="0" wp14:anchorId="718D333A" wp14:editId="50F32132">
            <wp:extent cx="4118924" cy="3673405"/>
            <wp:effectExtent l="19050" t="19050" r="152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468" cy="36747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A7E7D" w:rsidRDefault="00CE487D" w:rsidP="00B259CB"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Pr="00CE487D">
        <w:rPr>
          <w:noProof/>
        </w:rPr>
        <w:t>3</w:t>
      </w:r>
      <w:r>
        <w:fldChar w:fldCharType="end"/>
      </w:r>
      <w:r w:rsidRPr="009F2A2F">
        <w:t xml:space="preserve">. </w:t>
      </w:r>
      <w:r>
        <w:t>Конечно-элементная сетка</w:t>
      </w:r>
    </w:p>
    <w:p w:rsidR="008E0087" w:rsidRDefault="008E0087">
      <w:r>
        <w:br w:type="page"/>
      </w:r>
    </w:p>
    <w:p w:rsidR="008E0087" w:rsidRDefault="00486ECE" w:rsidP="00B259CB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М</w:t>
      </w:r>
      <w:r w:rsidR="008E0087" w:rsidRPr="00D46E48">
        <w:rPr>
          <w:rFonts w:eastAsiaTheme="minorEastAsia"/>
          <w:b/>
        </w:rPr>
        <w:t xml:space="preserve">етод </w:t>
      </w:r>
      <w:r w:rsidRPr="00D46E48">
        <w:rPr>
          <w:rFonts w:eastAsiaTheme="minorEastAsia"/>
          <w:b/>
        </w:rPr>
        <w:t>точечны</w:t>
      </w:r>
      <w:r>
        <w:rPr>
          <w:rFonts w:eastAsiaTheme="minorEastAsia"/>
          <w:b/>
        </w:rPr>
        <w:t>х интерполяций для</w:t>
      </w:r>
      <w:r w:rsidRPr="00D46E48">
        <w:rPr>
          <w:rFonts w:eastAsiaTheme="minorEastAsia"/>
          <w:b/>
        </w:rPr>
        <w:t xml:space="preserve"> </w:t>
      </w:r>
      <w:r w:rsidR="008E0087" w:rsidRPr="00D46E48">
        <w:rPr>
          <w:rFonts w:eastAsiaTheme="minorEastAsia"/>
          <w:b/>
        </w:rPr>
        <w:t>определения функции формы</w:t>
      </w:r>
    </w:p>
    <w:p w:rsidR="001E38F2" w:rsidRDefault="00B45D63" w:rsidP="00B45D63">
      <w:pPr>
        <w:rPr>
          <w:rFonts w:eastAsiaTheme="minorEastAsia"/>
        </w:rPr>
      </w:pPr>
      <w:r>
        <w:t>Метод точечных интерполяций</w:t>
      </w:r>
      <w:r w:rsidR="009E07DA">
        <w:t xml:space="preserve"> относится к классу </w:t>
      </w:r>
      <w:r w:rsidR="003C1D84">
        <w:t>методов, представляющих аппро</w:t>
      </w:r>
      <w:r w:rsidR="001E38F2">
        <w:t>ксимируемую функцию в виде ряда</w:t>
      </w:r>
      <w:r w:rsidR="003C1D84">
        <w:t>.</w:t>
      </w:r>
      <w:r w:rsidR="001E38F2">
        <w:t xml:space="preserve"> Представим скалярную функцию </w:t>
      </w:r>
      <m:oMath>
        <m:r>
          <w:rPr>
            <w:rFonts w:ascii="Cambria Math" w:hAnsi="Cambria Math"/>
          </w:rPr>
          <m:t>u(x,y)</m:t>
        </m:r>
      </m:oMath>
      <w:r w:rsidR="001E38F2" w:rsidRPr="001E38F2">
        <w:rPr>
          <w:rFonts w:eastAsiaTheme="minorEastAsia"/>
        </w:rPr>
        <w:t xml:space="preserve">, </w:t>
      </w:r>
      <w:r w:rsidR="001E38F2">
        <w:rPr>
          <w:rFonts w:eastAsiaTheme="minorEastAsia"/>
        </w:rPr>
        <w:t xml:space="preserve">определённую на области Ω. Если в этой области определены произвольно расположенные узлы с известными значениями функции, то </w:t>
      </w:r>
      <w:r w:rsidR="003D565A">
        <w:rPr>
          <w:rFonts w:eastAsiaTheme="minorEastAsia"/>
        </w:rPr>
        <w:t>интерполированное значение</w:t>
      </w:r>
      <w:r w:rsidR="001E38F2">
        <w:rPr>
          <w:rFonts w:eastAsiaTheme="minorEastAsia"/>
        </w:rPr>
        <w:t xml:space="preserve"> функции в л</w:t>
      </w:r>
      <w:r w:rsidR="00D97F7E">
        <w:rPr>
          <w:rFonts w:eastAsiaTheme="minorEastAsia"/>
        </w:rPr>
        <w:t>юбой точке может быть определено</w:t>
      </w:r>
      <w:r w:rsidR="001E38F2">
        <w:rPr>
          <w:rFonts w:eastAsiaTheme="minorEastAsia"/>
        </w:rPr>
        <w:t xml:space="preserve"> как:</w:t>
      </w:r>
    </w:p>
    <w:p w:rsidR="001E38F2" w:rsidRPr="001E38F2" w:rsidRDefault="001E38F2" w:rsidP="001E38F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1E38F2" w:rsidRDefault="001E38F2" w:rsidP="001E38F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1E38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 xml:space="preserve">базисная функция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коэффициент</w:t>
      </w:r>
      <w:r w:rsidR="00C91152">
        <w:rPr>
          <w:rFonts w:eastAsiaTheme="minorEastAsia"/>
        </w:rPr>
        <w:t>ы базисной функции</w:t>
      </w:r>
      <w:r>
        <w:rPr>
          <w:rFonts w:eastAsiaTheme="minorEastAsia"/>
        </w:rPr>
        <w:t>.</w:t>
      </w:r>
    </w:p>
    <w:p w:rsidR="00226D6E" w:rsidRPr="00226D6E" w:rsidRDefault="00226D6E" w:rsidP="001E38F2">
      <w:pPr>
        <w:rPr>
          <w:rFonts w:eastAsiaTheme="minorEastAsia"/>
        </w:rPr>
      </w:pPr>
      <w:r>
        <w:rPr>
          <w:rFonts w:eastAsiaTheme="minorEastAsia"/>
        </w:rPr>
        <w:t>Существуют два типа метода точечных интерполяций: основанный на использовании полиномов в качестве базисных функций</w:t>
      </w:r>
      <w:r w:rsidR="00254207">
        <w:rPr>
          <w:rFonts w:eastAsiaTheme="minorEastAsia"/>
        </w:rPr>
        <w:t xml:space="preserve"> </w:t>
      </w:r>
      <w:r w:rsidR="00B42D79">
        <w:rPr>
          <w:rFonts w:eastAsiaTheme="minorEastAsia"/>
        </w:rPr>
        <w:fldChar w:fldCharType="begin"/>
      </w:r>
      <w:r w:rsidR="00B42D79">
        <w:rPr>
          <w:rFonts w:eastAsiaTheme="minorEastAsia"/>
        </w:rPr>
        <w:instrText xml:space="preserve"> REF _Ref470879553 \r \h </w:instrText>
      </w:r>
      <w:r w:rsidR="00B42D79">
        <w:rPr>
          <w:rFonts w:eastAsiaTheme="minorEastAsia"/>
        </w:rPr>
      </w:r>
      <w:r w:rsidR="00B42D79">
        <w:rPr>
          <w:rFonts w:eastAsiaTheme="minorEastAsia"/>
        </w:rPr>
        <w:fldChar w:fldCharType="separate"/>
      </w:r>
      <w:r w:rsidR="00B42D79">
        <w:rPr>
          <w:rFonts w:eastAsiaTheme="minorEastAsia"/>
        </w:rPr>
        <w:t>[3]</w:t>
      </w:r>
      <w:r w:rsidR="00B42D79">
        <w:rPr>
          <w:rFonts w:eastAsiaTheme="minorEastAsia"/>
        </w:rPr>
        <w:fldChar w:fldCharType="end"/>
      </w:r>
      <w:r>
        <w:rPr>
          <w:rFonts w:eastAsiaTheme="minorEastAsia"/>
        </w:rPr>
        <w:t xml:space="preserve"> и использовании т.н. радиусных базисных функций</w:t>
      </w:r>
      <w:r w:rsidR="00B42D79" w:rsidRPr="00B42D79">
        <w:rPr>
          <w:rFonts w:eastAsiaTheme="minorEastAsia"/>
        </w:rPr>
        <w:t xml:space="preserve"> </w:t>
      </w:r>
      <w:r w:rsidR="00B42D79">
        <w:rPr>
          <w:rFonts w:eastAsiaTheme="minorEastAsia"/>
          <w:lang w:val="en-US"/>
        </w:rPr>
        <w:fldChar w:fldCharType="begin"/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 xml:space="preserve"> _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>471683393 \</w:instrText>
      </w:r>
      <w:r w:rsidR="00B42D79">
        <w:rPr>
          <w:rFonts w:eastAsiaTheme="minorEastAsia"/>
          <w:lang w:val="en-US"/>
        </w:rPr>
        <w:instrText>r</w:instrText>
      </w:r>
      <w:r w:rsidR="00B42D79" w:rsidRPr="00B42D79">
        <w:rPr>
          <w:rFonts w:eastAsiaTheme="minorEastAsia"/>
        </w:rPr>
        <w:instrText xml:space="preserve"> \</w:instrText>
      </w:r>
      <w:r w:rsidR="00B42D79">
        <w:rPr>
          <w:rFonts w:eastAsiaTheme="minorEastAsia"/>
          <w:lang w:val="en-US"/>
        </w:rPr>
        <w:instrText>h</w:instrText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</w:r>
      <w:r w:rsidR="00B42D79">
        <w:rPr>
          <w:rFonts w:eastAsiaTheme="minorEastAsia"/>
          <w:lang w:val="en-US"/>
        </w:rPr>
        <w:fldChar w:fldCharType="separate"/>
      </w:r>
      <w:r w:rsidR="00B42D79" w:rsidRPr="00B42D79">
        <w:rPr>
          <w:rFonts w:eastAsiaTheme="minorEastAsia"/>
        </w:rPr>
        <w:t>[4]</w:t>
      </w:r>
      <w:r w:rsidR="00B42D79"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>.</w:t>
      </w:r>
    </w:p>
    <w:p w:rsidR="00E52298" w:rsidRDefault="00E52298" w:rsidP="00B45D63">
      <w:pPr>
        <w:rPr>
          <w:rFonts w:eastAsiaTheme="minorEastAsia"/>
          <w:b/>
        </w:rPr>
      </w:pPr>
    </w:p>
    <w:p w:rsidR="00B82920" w:rsidRPr="00722C7F" w:rsidRDefault="00B82920" w:rsidP="00B45D63">
      <w:pPr>
        <w:rPr>
          <w:b/>
        </w:rPr>
      </w:pPr>
      <w:r w:rsidRPr="00722C7F">
        <w:rPr>
          <w:rFonts w:eastAsiaTheme="minorEastAsia"/>
          <w:b/>
        </w:rPr>
        <w:t>Т</w:t>
      </w:r>
      <w:r w:rsidRPr="00722C7F">
        <w:rPr>
          <w:rFonts w:eastAsiaTheme="minorEastAsia"/>
          <w:b/>
        </w:rPr>
        <w:t>очечны</w:t>
      </w:r>
      <w:r w:rsidRPr="00722C7F">
        <w:rPr>
          <w:rFonts w:eastAsiaTheme="minorEastAsia"/>
          <w:b/>
        </w:rPr>
        <w:t>е интерполяции на основе полиномов</w:t>
      </w:r>
    </w:p>
    <w:p w:rsidR="00B45D63" w:rsidRPr="00B45D63" w:rsidRDefault="00203070" w:rsidP="00B45D63">
      <w:r>
        <w:t>Применение</w:t>
      </w:r>
      <w:r w:rsidR="00B45D63">
        <w:t xml:space="preserve"> полиномов в качестве базисных функций для интерполяции</w:t>
      </w:r>
      <w:r w:rsidR="00C7649A">
        <w:t xml:space="preserve"> </w:t>
      </w:r>
      <w:r>
        <w:t>известно</w:t>
      </w:r>
      <w:r w:rsidR="009E07DA">
        <w:t xml:space="preserve"> уже достаточно давно</w:t>
      </w:r>
      <w:r>
        <w:t xml:space="preserve"> и широко применяется, например, в МКЭ.</w:t>
      </w:r>
      <w:bookmarkStart w:id="0" w:name="_GoBack"/>
      <w:bookmarkEnd w:id="0"/>
    </w:p>
    <w:p w:rsidR="00D46E48" w:rsidRDefault="00D46E48"/>
    <w:p w:rsidR="008A7E7D" w:rsidRDefault="008A7E7D">
      <w:r>
        <w:br w:type="page"/>
      </w:r>
    </w:p>
    <w:p w:rsidR="00CE487D" w:rsidRPr="00DC2C27" w:rsidRDefault="008A7E7D" w:rsidP="00B259CB">
      <w:pPr>
        <w:rPr>
          <w:b/>
        </w:rPr>
      </w:pPr>
      <w:r w:rsidRPr="00DC2C27">
        <w:rPr>
          <w:b/>
        </w:rPr>
        <w:lastRenderedPageBreak/>
        <w:t>Интерполяция поверхностей с помощью функций формы</w:t>
      </w:r>
    </w:p>
    <w:p w:rsidR="00A257C8" w:rsidRDefault="00795E24" w:rsidP="003860B9">
      <w:pPr>
        <w:jc w:val="both"/>
        <w:rPr>
          <w:rFonts w:eastAsiaTheme="minorEastAsia"/>
        </w:rPr>
      </w:pPr>
      <w:r>
        <w:t>Успех решения задачи при помощи «бессеточных» методов, зависит прежде всего от качества выбранной</w:t>
      </w:r>
      <w:r w:rsidR="00B717D2">
        <w:t xml:space="preserve"> «бессеточной» </w:t>
      </w:r>
      <w:r>
        <w:t xml:space="preserve">функции формы. </w:t>
      </w:r>
      <w:r w:rsidR="008A7E7D">
        <w:t xml:space="preserve">Для оценки </w:t>
      </w:r>
      <w:r w:rsidR="00865370">
        <w:t xml:space="preserve">точности </w:t>
      </w:r>
      <w:r w:rsidR="007F4370">
        <w:t>описанных выше «бессеточных» функций формы, проведём следующий численный эксперимент.</w:t>
      </w:r>
      <w:r w:rsidR="00DC2C27">
        <w:t xml:space="preserve"> Поскольку смысл функции формы - интерполяция неизвестных </w:t>
      </w:r>
      <w:r w:rsidR="000533F6">
        <w:t>значений</w:t>
      </w:r>
      <w:r w:rsidR="00DC2C27">
        <w:t xml:space="preserve"> функции по</w:t>
      </w:r>
      <w:r w:rsidR="00F93E98">
        <w:t xml:space="preserve"> её</w:t>
      </w:r>
      <w:r w:rsidR="00DC2C27">
        <w:t xml:space="preserve"> известным</w:t>
      </w:r>
      <w:r w:rsidR="00F93E98">
        <w:t xml:space="preserve"> узловым значениям</w:t>
      </w:r>
      <w:r w:rsidR="00122D55">
        <w:t>,</w:t>
      </w:r>
      <w:r w:rsidR="00DC2C27">
        <w:t xml:space="preserve"> </w:t>
      </w:r>
      <w:r w:rsidR="00122D55">
        <w:t>т</w:t>
      </w:r>
      <w:r w:rsidR="007F4370">
        <w:t xml:space="preserve">о </w:t>
      </w:r>
      <w:r w:rsidR="00122D55">
        <w:t xml:space="preserve">логичным представляется проверить качество </w:t>
      </w:r>
      <w:r w:rsidR="007F4370">
        <w:t xml:space="preserve">интерполяции </w:t>
      </w:r>
      <w:r w:rsidR="00D16484">
        <w:t xml:space="preserve">значений </w:t>
      </w:r>
      <w:r w:rsidR="00122D55">
        <w:t xml:space="preserve">какой-либо </w:t>
      </w:r>
      <w:r w:rsidR="00812804">
        <w:t xml:space="preserve">наперёд </w:t>
      </w:r>
      <w:r w:rsidR="002A75F6">
        <w:t xml:space="preserve">заданной </w:t>
      </w:r>
      <w:r w:rsidR="00122D55">
        <w:t>функции.</w:t>
      </w:r>
      <w:r w:rsidR="00E030B1">
        <w:t xml:space="preserve"> </w:t>
      </w:r>
      <w:r w:rsidR="004E7F7C">
        <w:t xml:space="preserve">Пусть задана плоскость, ограниченная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0;10</m:t>
            </m:r>
          </m:e>
        </m:d>
        <m:r>
          <w:rPr>
            <w:rFonts w:ascii="Cambria Math" w:hAnsi="Cambria Math"/>
          </w:rPr>
          <m:t>×[0;10]</m:t>
        </m:r>
      </m:oMath>
      <w:r w:rsidR="00F41A40">
        <w:rPr>
          <w:rFonts w:eastAsiaTheme="minorEastAsia"/>
        </w:rPr>
        <w:t>.</w:t>
      </w:r>
      <w:r w:rsidR="00F41A40" w:rsidRPr="00F41A40">
        <w:rPr>
          <w:rFonts w:eastAsiaTheme="minorEastAsia"/>
        </w:rPr>
        <w:t xml:space="preserve"> </w:t>
      </w:r>
      <w:r w:rsidR="00F41A40">
        <w:rPr>
          <w:rFonts w:eastAsiaTheme="minorEastAsia"/>
        </w:rPr>
        <w:t xml:space="preserve">На плоскости </w:t>
      </w:r>
      <w:r w:rsidR="009974D5">
        <w:rPr>
          <w:rFonts w:eastAsiaTheme="minorEastAsia"/>
        </w:rPr>
        <w:t>о</w:t>
      </w:r>
      <w:r w:rsidR="00F41A40">
        <w:rPr>
          <w:rFonts w:eastAsiaTheme="minorEastAsia"/>
        </w:rPr>
        <w:t>пределены 11 х 11 узлов</w:t>
      </w:r>
      <w:r w:rsidR="009974D5">
        <w:rPr>
          <w:rFonts w:eastAsiaTheme="minorEastAsia"/>
        </w:rPr>
        <w:t xml:space="preserve"> с постоянным межузловым расстоянием</w:t>
      </w:r>
      <w:r w:rsidR="00D729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=1,0</m:t>
        </m:r>
      </m:oMath>
      <w:r w:rsidR="00D7299F" w:rsidRPr="00DD3C28">
        <w:rPr>
          <w:rFonts w:eastAsiaTheme="minorEastAsia"/>
        </w:rPr>
        <w:t>.</w:t>
      </w:r>
      <w:r w:rsidR="00C82F41">
        <w:rPr>
          <w:rFonts w:eastAsiaTheme="minorEastAsia"/>
        </w:rPr>
        <w:t xml:space="preserve"> В общей сложности 100 точек </w:t>
      </w:r>
      <w:r w:rsidR="009F28EF">
        <w:rPr>
          <w:rFonts w:eastAsiaTheme="minorEastAsia"/>
        </w:rPr>
        <w:t xml:space="preserve">в пределах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0,4;9,4</m:t>
            </m:r>
          </m:e>
        </m:d>
        <m:r>
          <w:rPr>
            <w:rFonts w:ascii="Cambria Math" w:hAnsi="Cambria Math"/>
          </w:rPr>
          <m:t>×[0,4;9,4]</m:t>
        </m:r>
      </m:oMath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  <w:lang w:val="en-US"/>
        </w:rPr>
        <w:t>c</w:t>
      </w:r>
      <w:r w:rsidR="000E3967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равным</w:t>
      </w:r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</w:rPr>
        <w:t xml:space="preserve">шагом </w:t>
      </w:r>
      <m:oMath>
        <m:r>
          <w:rPr>
            <w:rFonts w:ascii="Cambria Math" w:eastAsiaTheme="minorEastAsia" w:hAnsi="Cambria Math"/>
          </w:rPr>
          <m:t>h=1,0</m:t>
        </m:r>
      </m:oMath>
      <w:r w:rsidR="00FC68CF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отобраны в качестве</w:t>
      </w:r>
      <w:r w:rsidR="00AE477B">
        <w:rPr>
          <w:rFonts w:eastAsiaTheme="minorEastAsia"/>
        </w:rPr>
        <w:t xml:space="preserve"> </w:t>
      </w:r>
      <w:r w:rsidR="000E3967">
        <w:rPr>
          <w:rFonts w:eastAsiaTheme="minorEastAsia"/>
        </w:rPr>
        <w:t>точек интерполяции</w:t>
      </w:r>
      <w:r w:rsidR="003B5EFC">
        <w:rPr>
          <w:rFonts w:eastAsiaTheme="minorEastAsia"/>
        </w:rPr>
        <w:t xml:space="preserve"> (координаты точек умышленно выбраны дробными, чтобы не совпадать с координатами узлов)</w:t>
      </w:r>
      <w:r w:rsidR="00AE477B">
        <w:rPr>
          <w:rFonts w:eastAsiaTheme="minorEastAsia"/>
        </w:rPr>
        <w:t>.</w:t>
      </w:r>
      <w:r w:rsidR="003B5EFC">
        <w:rPr>
          <w:rFonts w:eastAsiaTheme="minorEastAsia"/>
        </w:rPr>
        <w:t xml:space="preserve">  </w:t>
      </w:r>
      <w:r w:rsidR="00661D86">
        <w:rPr>
          <w:rFonts w:eastAsiaTheme="minorEastAsia"/>
        </w:rPr>
        <w:t xml:space="preserve">Для интерполяции в расчётной точке используется </w:t>
      </w:r>
      <w:r w:rsidR="005431D7">
        <w:rPr>
          <w:rFonts w:eastAsiaTheme="minorEastAsia"/>
        </w:rPr>
        <w:t>квадратная</w:t>
      </w:r>
      <w:r w:rsidR="00661D86">
        <w:rPr>
          <w:rFonts w:eastAsiaTheme="minorEastAsia"/>
        </w:rPr>
        <w:t xml:space="preserve"> область поддержки</w:t>
      </w:r>
      <w:r w:rsidR="00552626">
        <w:rPr>
          <w:rFonts w:eastAsiaTheme="minorEastAsia"/>
        </w:rPr>
        <w:t>, размером 1 х 1.</w:t>
      </w:r>
      <w:r w:rsidR="003860B9" w:rsidRPr="003860B9">
        <w:rPr>
          <w:rFonts w:eastAsiaTheme="minorEastAsia"/>
        </w:rPr>
        <w:t xml:space="preserve"> </w:t>
      </w:r>
    </w:p>
    <w:p w:rsidR="00594C0D" w:rsidRPr="00594C0D" w:rsidRDefault="00594C0D" w:rsidP="003860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Аппроксимируемая функция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будет </w:t>
      </w:r>
      <w:r w:rsidR="00E533BD">
        <w:rPr>
          <w:rFonts w:eastAsiaTheme="minorEastAsia"/>
        </w:rPr>
        <w:t>отыскиваться</w:t>
      </w:r>
      <w:r>
        <w:rPr>
          <w:rFonts w:eastAsiaTheme="minorEastAsia"/>
        </w:rPr>
        <w:t xml:space="preserve"> как:</w:t>
      </w:r>
    </w:p>
    <w:p w:rsidR="00D0130A" w:rsidRPr="00D72A3F" w:rsidRDefault="00203070" w:rsidP="00552626">
      <w:pPr>
        <w:rPr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:rsidR="00E030B1" w:rsidRDefault="00D72A3F" w:rsidP="00B259CB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>
        <w:rPr>
          <w:rFonts w:eastAsiaTheme="minorEastAsia"/>
        </w:rPr>
        <w:t xml:space="preserve"> значение функции формы,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-</m:t>
        </m:r>
      </m:oMath>
      <w:r w:rsidRPr="00D72A3F">
        <w:rPr>
          <w:rFonts w:eastAsiaTheme="minorEastAsia"/>
        </w:rPr>
        <w:t xml:space="preserve"> </w:t>
      </w:r>
      <w:r>
        <w:rPr>
          <w:rFonts w:eastAsiaTheme="minorEastAsia"/>
        </w:rPr>
        <w:t>количество узлов</w:t>
      </w:r>
      <w:r w:rsidR="005B131E">
        <w:rPr>
          <w:rFonts w:eastAsiaTheme="minorEastAsia"/>
        </w:rPr>
        <w:t>, попавших в область</w:t>
      </w:r>
      <w:r w:rsidR="00637A7F">
        <w:rPr>
          <w:rFonts w:eastAsiaTheme="minorEastAsia"/>
        </w:rPr>
        <w:t xml:space="preserve"> поддержки</w:t>
      </w:r>
      <w:r w:rsidR="00637A7F" w:rsidRPr="00637A7F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 w:rsidRPr="00637A7F">
        <w:rPr>
          <w:rFonts w:eastAsiaTheme="minorEastAsia"/>
        </w:rPr>
        <w:t xml:space="preserve"> </w:t>
      </w:r>
      <w:r w:rsidR="00637A7F">
        <w:rPr>
          <w:rFonts w:eastAsiaTheme="minorEastAsia"/>
        </w:rPr>
        <w:t xml:space="preserve">значение интерполируемой функции в </w:t>
      </w:r>
      <w:r w:rsidR="00637A7F" w:rsidRPr="00505DE8">
        <w:rPr>
          <w:rFonts w:eastAsiaTheme="minorEastAsia"/>
          <w:i/>
          <w:lang w:val="en-US"/>
        </w:rPr>
        <w:t>i</w:t>
      </w:r>
      <w:r w:rsidR="00637A7F" w:rsidRPr="00637A7F">
        <w:rPr>
          <w:rFonts w:eastAsiaTheme="minorEastAsia"/>
        </w:rPr>
        <w:t>-</w:t>
      </w:r>
      <w:r w:rsidR="00637A7F">
        <w:rPr>
          <w:rFonts w:eastAsiaTheme="minorEastAsia"/>
        </w:rPr>
        <w:t>ом узле.</w:t>
      </w:r>
    </w:p>
    <w:p w:rsidR="00AA5C44" w:rsidRDefault="00AA5C44" w:rsidP="00B259CB">
      <w:pPr>
        <w:rPr>
          <w:rFonts w:eastAsiaTheme="minorEastAsia"/>
        </w:rPr>
      </w:pPr>
      <w:r>
        <w:rPr>
          <w:rFonts w:eastAsiaTheme="minorEastAsia"/>
        </w:rPr>
        <w:t>В численном эксперименте</w:t>
      </w:r>
      <w:r w:rsidR="00B72A3D">
        <w:rPr>
          <w:rFonts w:eastAsiaTheme="minorEastAsia"/>
        </w:rPr>
        <w:t xml:space="preserve"> изучается</w:t>
      </w:r>
      <w:r w:rsidR="00BF14AF">
        <w:rPr>
          <w:rFonts w:eastAsiaTheme="minorEastAsia"/>
        </w:rPr>
        <w:t xml:space="preserve"> интерполяции функции с помощью</w:t>
      </w:r>
      <w:r w:rsidR="00B72A3D">
        <w:rPr>
          <w:rFonts w:eastAsiaTheme="minorEastAsia"/>
        </w:rPr>
        <w:t xml:space="preserve"> </w:t>
      </w:r>
      <w:r>
        <w:rPr>
          <w:rFonts w:eastAsiaTheme="minorEastAsia"/>
        </w:rPr>
        <w:t>радиально-точечного метода</w:t>
      </w:r>
      <w:r w:rsidR="00EF69FE">
        <w:rPr>
          <w:rFonts w:eastAsiaTheme="minorEastAsia"/>
        </w:rPr>
        <w:t xml:space="preserve"> </w:t>
      </w:r>
      <w:r w:rsidR="00164394" w:rsidRPr="00164394">
        <w:rPr>
          <w:rFonts w:eastAsiaTheme="minorEastAsia"/>
        </w:rPr>
        <w:t>(</w:t>
      </w:r>
      <w:r w:rsidR="00164394">
        <w:rPr>
          <w:rFonts w:eastAsiaTheme="minorEastAsia"/>
        </w:rPr>
        <w:fldChar w:fldCharType="begin"/>
      </w:r>
      <w:r w:rsidR="00164394">
        <w:rPr>
          <w:rFonts w:eastAsiaTheme="minorEastAsia"/>
        </w:rPr>
        <w:instrText xml:space="preserve"> REF _Ref471425368 \r \h </w:instrText>
      </w:r>
      <w:r w:rsidR="00164394">
        <w:rPr>
          <w:rFonts w:eastAsiaTheme="minorEastAsia"/>
        </w:rPr>
      </w:r>
      <w:r w:rsidR="00164394">
        <w:rPr>
          <w:rFonts w:eastAsiaTheme="minorEastAsia"/>
        </w:rPr>
        <w:fldChar w:fldCharType="separate"/>
      </w:r>
      <w:r w:rsidR="00164394">
        <w:rPr>
          <w:rFonts w:eastAsiaTheme="minorEastAsia"/>
        </w:rPr>
        <w:t>[5]</w:t>
      </w:r>
      <w:r w:rsidR="00164394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, </w:t>
      </w:r>
      <w:r w:rsidR="00CD6EFD">
        <w:rPr>
          <w:rFonts w:eastAsiaTheme="minorEastAsia"/>
        </w:rPr>
        <w:fldChar w:fldCharType="begin"/>
      </w:r>
      <w:r w:rsidR="00CD6EFD">
        <w:rPr>
          <w:rFonts w:eastAsiaTheme="minorEastAsia"/>
        </w:rPr>
        <w:instrText xml:space="preserve"> REF _Ref471425347 \r \h </w:instrText>
      </w:r>
      <w:r w:rsidR="00CD6EFD">
        <w:rPr>
          <w:rFonts w:eastAsiaTheme="minorEastAsia"/>
        </w:rPr>
      </w:r>
      <w:r w:rsidR="00CD6EFD">
        <w:rPr>
          <w:rFonts w:eastAsiaTheme="minorEastAsia"/>
        </w:rPr>
        <w:fldChar w:fldCharType="separate"/>
      </w:r>
      <w:r w:rsidR="00CD6EFD">
        <w:rPr>
          <w:rFonts w:eastAsiaTheme="minorEastAsia"/>
        </w:rPr>
        <w:t>[6]</w:t>
      </w:r>
      <w:r w:rsidR="00CD6EFD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). </w:t>
      </w:r>
      <w:r w:rsidR="00164394">
        <w:rPr>
          <w:rFonts w:eastAsiaTheme="minorEastAsia"/>
        </w:rPr>
        <w:t>Ошибка интерполяции</w:t>
      </w:r>
      <w:r w:rsidR="00814E6A">
        <w:rPr>
          <w:rFonts w:eastAsiaTheme="minorEastAsia"/>
        </w:rPr>
        <w:t>, осреднённая по всей</w:t>
      </w:r>
      <w:r w:rsidR="006215E8">
        <w:rPr>
          <w:rFonts w:eastAsiaTheme="minorEastAsia"/>
        </w:rPr>
        <w:t xml:space="preserve"> расчётной</w:t>
      </w:r>
      <w:r w:rsidR="00814E6A">
        <w:rPr>
          <w:rFonts w:eastAsiaTheme="minorEastAsia"/>
        </w:rPr>
        <w:t xml:space="preserve"> </w:t>
      </w:r>
      <w:r w:rsidR="006215E8">
        <w:rPr>
          <w:rFonts w:eastAsiaTheme="minorEastAsia"/>
        </w:rPr>
        <w:t xml:space="preserve">плоскости </w:t>
      </w:r>
      <w:r w:rsidR="00164394">
        <w:rPr>
          <w:rFonts w:eastAsiaTheme="minorEastAsia"/>
        </w:rPr>
        <w:t>определяется как:</w:t>
      </w:r>
    </w:p>
    <w:p w:rsidR="00164394" w:rsidRPr="00164394" w:rsidRDefault="00203070" w:rsidP="00B259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A7E7D" w:rsidRDefault="006215E8" w:rsidP="00B259CB">
      <w:r>
        <w:t xml:space="preserve">где </w:t>
      </w:r>
      <w:r w:rsidRPr="006215E8">
        <w:rPr>
          <w:i/>
          <w:lang w:val="en-US"/>
        </w:rPr>
        <w:t>N</w:t>
      </w:r>
      <w:r w:rsidRPr="006215E8">
        <w:t xml:space="preserve"> – </w:t>
      </w:r>
      <w:r>
        <w:t xml:space="preserve">количество точек </w:t>
      </w:r>
      <w:r w:rsidR="007F4370">
        <w:t>интерполяции</w:t>
      </w:r>
      <w:r>
        <w:t xml:space="preserve"> в расчётной плоскости;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аналитическое значение функции;</w:t>
      </w:r>
      <w:r w:rsidR="007F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A43FEE">
        <w:rPr>
          <w:rFonts w:eastAsiaTheme="minorEastAsia"/>
        </w:rPr>
        <w:t xml:space="preserve"> приближённое значение, полученное</w:t>
      </w:r>
      <w:r>
        <w:rPr>
          <w:rFonts w:eastAsiaTheme="minorEastAsia"/>
        </w:rPr>
        <w:t xml:space="preserve"> </w:t>
      </w:r>
      <w:r w:rsidR="00A43FEE">
        <w:rPr>
          <w:rFonts w:eastAsiaTheme="minorEastAsia"/>
        </w:rPr>
        <w:t>интерполяцией</w:t>
      </w:r>
      <w:r w:rsidR="00A43FEE">
        <w:t>.</w:t>
      </w:r>
    </w:p>
    <w:p w:rsidR="00F87B03" w:rsidRDefault="00833042" w:rsidP="00B259CB">
      <w:r>
        <w:t>Во-первых,</w:t>
      </w:r>
      <w:r w:rsidR="00F87B03">
        <w:t xml:space="preserve"> рассмотрим простейшую линейную функцию для интерполяции: </w:t>
      </w:r>
    </w:p>
    <w:p w:rsidR="00F87B03" w:rsidRPr="00E00A37" w:rsidRDefault="00203070" w:rsidP="00F87B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=x+y+1</m:t>
          </m:r>
        </m:oMath>
      </m:oMathPara>
    </w:p>
    <w:p w:rsidR="00E00A37" w:rsidRDefault="00833042" w:rsidP="009B62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численного эксперимента радиально-точечный метод показал высокую точность интерполяции. Порядок полученной средней ошибки составил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="001029BB" w:rsidRPr="001029BB">
        <w:rPr>
          <w:rFonts w:eastAsiaTheme="minorEastAsia"/>
        </w:rPr>
        <w:t xml:space="preserve">, </w:t>
      </w:r>
      <w:r>
        <w:rPr>
          <w:rFonts w:eastAsiaTheme="minorEastAsia"/>
        </w:rPr>
        <w:t>что фактически соответствует машинной точности</w:t>
      </w:r>
      <w:r w:rsidR="00D47E76">
        <w:rPr>
          <w:rFonts w:eastAsiaTheme="minorEastAsia"/>
        </w:rPr>
        <w:t xml:space="preserve"> использованного вычислительного комплекса</w:t>
      </w:r>
      <w:r>
        <w:rPr>
          <w:rFonts w:eastAsiaTheme="minorEastAsia"/>
        </w:rPr>
        <w:t>.</w:t>
      </w:r>
    </w:p>
    <w:p w:rsidR="00C75927" w:rsidRDefault="003C6DF9" w:rsidP="009B625B">
      <w:pPr>
        <w:jc w:val="both"/>
        <w:rPr>
          <w:rFonts w:eastAsiaTheme="minorEastAsia"/>
        </w:rPr>
      </w:pPr>
      <w:r>
        <w:rPr>
          <w:rFonts w:eastAsiaTheme="minorEastAsia"/>
        </w:rPr>
        <w:t>Во-вторых, рассмотрим интерполяцию более сложной функции:</w:t>
      </w:r>
    </w:p>
    <w:p w:rsidR="003C6DF9" w:rsidRPr="001029BB" w:rsidRDefault="00203070" w:rsidP="009B625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+1,5</m:t>
          </m:r>
        </m:oMath>
      </m:oMathPara>
    </w:p>
    <w:p w:rsidR="008B5EBA" w:rsidRPr="00EC43D8" w:rsidRDefault="00B8514D" w:rsidP="008B5EBA">
      <w:pPr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В данном случае большое влияние на точность интерполяции имеет выбор параметров функции формы </w:t>
      </w:r>
      <w:r w:rsidRPr="008D3815">
        <w:rPr>
          <w:rFonts w:ascii="Cambria Math" w:hAnsi="Cambria Math"/>
          <w:lang w:val="en-US"/>
        </w:rPr>
        <w:t>q</w:t>
      </w:r>
      <w:r w:rsidR="005F622B" w:rsidRPr="005F622B">
        <w:rPr>
          <w:rFonts w:ascii="Cambria Math" w:hAnsi="Cambria Math"/>
          <w:i/>
        </w:rPr>
        <w:t xml:space="preserve"> </w:t>
      </w:r>
      <w:r w:rsidR="005F622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F622B">
        <w:rPr>
          <w:rFonts w:eastAsiaTheme="minorEastAsia"/>
        </w:rPr>
        <w:t xml:space="preserve"> (см. выше).</w:t>
      </w:r>
      <w:r w:rsidR="002B3723">
        <w:rPr>
          <w:rFonts w:eastAsiaTheme="minorEastAsia"/>
        </w:rPr>
        <w:t xml:space="preserve"> </w:t>
      </w:r>
      <w:r w:rsidR="008D3815">
        <w:rPr>
          <w:rFonts w:eastAsiaTheme="minorEastAsia"/>
        </w:rPr>
        <w:t xml:space="preserve">В настоящем эксперименте были приняты значения </w:t>
      </w:r>
      <w:r w:rsidR="008D3815" w:rsidRPr="008D3815">
        <w:rPr>
          <w:rFonts w:ascii="Cambria Math" w:hAnsi="Cambria Math"/>
          <w:lang w:val="en-US"/>
        </w:rPr>
        <w:t>q</w:t>
      </w:r>
      <w:r w:rsidR="008D3815" w:rsidRPr="008D3815">
        <w:rPr>
          <w:rFonts w:ascii="Cambria Math" w:hAnsi="Cambria Math"/>
        </w:rPr>
        <w:t>=</w:t>
      </w:r>
      <w:r w:rsidR="00EC43D8" w:rsidRPr="00EC43D8">
        <w:rPr>
          <w:rFonts w:ascii="Cambria Math" w:hAnsi="Cambria Math"/>
        </w:rPr>
        <w:t>0,98</w:t>
      </w:r>
      <w:r w:rsidR="008D3815" w:rsidRPr="005F622B">
        <w:rPr>
          <w:rFonts w:ascii="Cambria Math" w:hAnsi="Cambria Math"/>
          <w:i/>
        </w:rPr>
        <w:t xml:space="preserve"> </w:t>
      </w:r>
      <w:r w:rsidR="008D381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,0</m:t>
        </m:r>
      </m:oMath>
      <w:r w:rsidR="008B5EBA" w:rsidRPr="008B5EBA">
        <w:rPr>
          <w:rFonts w:eastAsiaTheme="minorEastAsia"/>
        </w:rPr>
        <w:t>.</w:t>
      </w:r>
      <w:r w:rsidR="008B5EBA">
        <w:rPr>
          <w:rFonts w:eastAsiaTheme="minorEastAsia"/>
        </w:rPr>
        <w:t xml:space="preserve"> В результате </w:t>
      </w:r>
      <w:r w:rsidR="0027596A">
        <w:rPr>
          <w:rFonts w:eastAsiaTheme="minorEastAsia"/>
        </w:rPr>
        <w:t xml:space="preserve">средняя ошибка </w:t>
      </w:r>
      <w:r w:rsidR="008B5EBA">
        <w:rPr>
          <w:rFonts w:eastAsiaTheme="minorEastAsia"/>
        </w:rPr>
        <w:t>интерполяции составила</w:t>
      </w:r>
      <w:r w:rsidR="008B5EBA" w:rsidRPr="00EC43D8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2,5 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8B5EBA" w:rsidRPr="00EC43D8">
        <w:rPr>
          <w:rFonts w:eastAsiaTheme="minorEastAsia"/>
        </w:rPr>
        <w:t>.</w:t>
      </w:r>
    </w:p>
    <w:p w:rsidR="001029BB" w:rsidRPr="008B5EBA" w:rsidRDefault="008B5EBA" w:rsidP="005F622B">
      <w:r>
        <w:t xml:space="preserve"> </w:t>
      </w:r>
    </w:p>
    <w:p w:rsidR="00473556" w:rsidRPr="00833042" w:rsidRDefault="00473556" w:rsidP="009B625B">
      <w:pPr>
        <w:jc w:val="both"/>
        <w:rPr>
          <w:rFonts w:eastAsiaTheme="minorEastAsia"/>
        </w:rPr>
      </w:pPr>
    </w:p>
    <w:p w:rsidR="00E00A37" w:rsidRPr="00F87B03" w:rsidRDefault="00E00A37" w:rsidP="00F87B03">
      <w:pPr>
        <w:jc w:val="center"/>
      </w:pPr>
    </w:p>
    <w:p w:rsidR="00445872" w:rsidRPr="00445872" w:rsidRDefault="00445872" w:rsidP="00445872">
      <w:pPr>
        <w:ind w:firstLine="708"/>
      </w:pPr>
      <w:r>
        <w:t>Литература</w:t>
      </w:r>
    </w:p>
    <w:p w:rsidR="004B45C9" w:rsidRPr="008D3815" w:rsidRDefault="00445872" w:rsidP="00445872">
      <w:pPr>
        <w:pStyle w:val="a6"/>
        <w:numPr>
          <w:ilvl w:val="0"/>
          <w:numId w:val="1"/>
        </w:numPr>
      </w:pPr>
      <w:bookmarkStart w:id="1" w:name="_Ref470878982"/>
      <w:r w:rsidRPr="00445872">
        <w:rPr>
          <w:lang w:val="en-US"/>
        </w:rPr>
        <w:lastRenderedPageBreak/>
        <w:t>Belytschko</w:t>
      </w:r>
      <w:r w:rsidRPr="00EC43D8">
        <w:rPr>
          <w:lang w:val="en-US"/>
        </w:rPr>
        <w:t xml:space="preserve">, </w:t>
      </w:r>
      <w:r w:rsidRPr="00445872">
        <w:t>Т</w:t>
      </w:r>
      <w:r w:rsidRPr="00EC43D8">
        <w:rPr>
          <w:lang w:val="en-US"/>
        </w:rPr>
        <w:t xml:space="preserve">., </w:t>
      </w:r>
      <w:r w:rsidRPr="00445872">
        <w:rPr>
          <w:lang w:val="en-US"/>
        </w:rPr>
        <w:t>Lu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Y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Y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and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Gu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L</w:t>
      </w:r>
      <w:r w:rsidRPr="00EC43D8">
        <w:rPr>
          <w:lang w:val="en-US"/>
        </w:rPr>
        <w:t xml:space="preserve">., </w:t>
      </w:r>
      <w:r w:rsidRPr="00445872">
        <w:rPr>
          <w:lang w:val="en-US"/>
        </w:rPr>
        <w:t>Element</w:t>
      </w:r>
      <w:r w:rsidRPr="00EC43D8">
        <w:rPr>
          <w:lang w:val="en-US"/>
        </w:rPr>
        <w:t>-</w:t>
      </w:r>
      <w:r w:rsidRPr="00445872">
        <w:rPr>
          <w:lang w:val="en-US"/>
        </w:rPr>
        <w:t>free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Galerkin</w:t>
      </w:r>
      <w:r w:rsidRPr="00EC43D8">
        <w:rPr>
          <w:lang w:val="en-US"/>
        </w:rPr>
        <w:t xml:space="preserve"> </w:t>
      </w:r>
      <w:r w:rsidRPr="00445872">
        <w:rPr>
          <w:lang w:val="en-US"/>
        </w:rPr>
        <w:t>methods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Int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f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Numer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Methods</w:t>
      </w:r>
      <w:r w:rsidRPr="008D3815">
        <w:t xml:space="preserve"> </w:t>
      </w:r>
      <w:r w:rsidRPr="00445872">
        <w:rPr>
          <w:lang w:val="en-US"/>
        </w:rPr>
        <w:t>Eng</w:t>
      </w:r>
      <w:r w:rsidRPr="008D3815">
        <w:t>., 37, 229-256,1994</w:t>
      </w:r>
      <w:r>
        <w:t>;</w:t>
      </w:r>
      <w:bookmarkEnd w:id="1"/>
    </w:p>
    <w:p w:rsidR="001F1772" w:rsidRPr="00F8612C" w:rsidRDefault="001F1772" w:rsidP="001F1772">
      <w:pPr>
        <w:pStyle w:val="a6"/>
        <w:numPr>
          <w:ilvl w:val="0"/>
          <w:numId w:val="1"/>
        </w:numPr>
        <w:rPr>
          <w:lang w:val="en-US"/>
        </w:rPr>
      </w:pPr>
      <w:bookmarkStart w:id="2" w:name="_Ref470879078"/>
      <w:r w:rsidRPr="001F1772">
        <w:rPr>
          <w:lang w:val="en-US"/>
        </w:rPr>
        <w:t>Atluri, S. N. and Zhu, Т., A new meshless local Petrov-Galerkin (</w:t>
      </w:r>
      <w:r>
        <w:rPr>
          <w:lang w:val="en-US"/>
        </w:rPr>
        <w:t>MLPG) approach in computational</w:t>
      </w:r>
      <w:r w:rsidRPr="001F1772">
        <w:rPr>
          <w:lang w:val="en-US"/>
        </w:rPr>
        <w:t xml:space="preserve"> mechanics, C</w:t>
      </w:r>
      <w:r>
        <w:rPr>
          <w:lang w:val="en-US"/>
        </w:rPr>
        <w:t>omput. Mech., 22, 117-127, 1998</w:t>
      </w:r>
      <w:r>
        <w:t>;</w:t>
      </w:r>
      <w:bookmarkEnd w:id="2"/>
    </w:p>
    <w:p w:rsidR="00F8612C" w:rsidRDefault="00F8612C" w:rsidP="00F8612C">
      <w:pPr>
        <w:pStyle w:val="a6"/>
        <w:numPr>
          <w:ilvl w:val="0"/>
          <w:numId w:val="1"/>
        </w:numPr>
        <w:rPr>
          <w:lang w:val="en-US"/>
        </w:rPr>
      </w:pPr>
      <w:bookmarkStart w:id="3" w:name="_Ref470879553"/>
      <w:r w:rsidRPr="00F8612C">
        <w:rPr>
          <w:lang w:val="en-US"/>
        </w:rPr>
        <w:t>Liu, G. R. and Gu, Y. Т., A point interpolation method, in Proc. 4th Asia-Pac</w:t>
      </w:r>
      <w:r>
        <w:rPr>
          <w:lang w:val="en-US"/>
        </w:rPr>
        <w:t>ific Conference on Compu</w:t>
      </w:r>
      <w:r w:rsidRPr="00F8612C">
        <w:rPr>
          <w:lang w:val="en-US"/>
        </w:rPr>
        <w:t>tational Mechanics, Decem</w:t>
      </w:r>
      <w:r w:rsidR="00056CB5">
        <w:rPr>
          <w:lang w:val="en-US"/>
        </w:rPr>
        <w:t>ber, Singapore, 1999, 1009-1014</w:t>
      </w:r>
      <w:r w:rsidR="00056CB5" w:rsidRPr="00056CB5">
        <w:rPr>
          <w:lang w:val="en-US"/>
        </w:rPr>
        <w:t>;</w:t>
      </w:r>
      <w:bookmarkEnd w:id="3"/>
    </w:p>
    <w:p w:rsidR="001B3F99" w:rsidRPr="001B3F99" w:rsidRDefault="001B3F99" w:rsidP="001B3F99">
      <w:pPr>
        <w:pStyle w:val="a6"/>
        <w:numPr>
          <w:ilvl w:val="0"/>
          <w:numId w:val="1"/>
        </w:numPr>
        <w:rPr>
          <w:lang w:val="en-US"/>
        </w:rPr>
      </w:pPr>
      <w:bookmarkStart w:id="4" w:name="_Ref471683393"/>
      <w:r w:rsidRPr="001B3F99">
        <w:rPr>
          <w:lang w:val="en-US"/>
        </w:rPr>
        <w:t>Liu GR and Gu YT, Comparisons of two meshfree local point interpolation</w:t>
      </w:r>
      <w:r>
        <w:rPr>
          <w:lang w:val="en-US"/>
        </w:rPr>
        <w:t xml:space="preserve"> </w:t>
      </w:r>
      <w:r w:rsidRPr="001B3F99">
        <w:rPr>
          <w:lang w:val="en-US"/>
        </w:rPr>
        <w:t>methods for structural analyses. Computational Mechanics 2002, 29, 107-121</w:t>
      </w:r>
      <w:r w:rsidR="00EE214B">
        <w:rPr>
          <w:lang w:val="en-US"/>
        </w:rPr>
        <w:t>;</w:t>
      </w:r>
      <w:bookmarkEnd w:id="4"/>
    </w:p>
    <w:p w:rsidR="002629CD" w:rsidRPr="002629CD" w:rsidRDefault="00056CB5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5" w:name="_Ref470879556"/>
      <w:r w:rsidRPr="002629CD">
        <w:rPr>
          <w:lang w:val="en-US"/>
        </w:rPr>
        <w:t>Onate, E. et al., A finite point method in computational mechanics applications to convective transport and fluid flow, Int. J. Numer. Methods Eng., 39, 3839-3866, 1996</w:t>
      </w:r>
      <w:bookmarkEnd w:id="5"/>
      <w:r w:rsidR="00BF14AF" w:rsidRPr="002629CD">
        <w:rPr>
          <w:lang w:val="en-US"/>
        </w:rPr>
        <w:t>;</w:t>
      </w:r>
    </w:p>
    <w:p w:rsidR="00BF14AF" w:rsidRDefault="00BF14AF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6" w:name="_Ref471425368"/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Liu G</w:t>
      </w:r>
      <w:r w:rsidR="00637C48">
        <w:rPr>
          <w:rFonts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R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, Mesh Free Methods: Moving Beyond the Finite Element Method.</w:t>
      </w:r>
      <w:r w:rsidR="002629CD" w:rsidRPr="002629CD">
        <w:rPr>
          <w:rFonts w:cs="TimesNewRoman"/>
          <w:color w:val="141314"/>
          <w:sz w:val="20"/>
          <w:szCs w:val="20"/>
          <w:lang w:val="en-US"/>
        </w:rPr>
        <w:t xml:space="preserve"> 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CRC press, Boca Raton, USA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, 2002</w:t>
      </w:r>
      <w:r w:rsid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;</w:t>
      </w:r>
      <w:bookmarkEnd w:id="6"/>
    </w:p>
    <w:p w:rsidR="008651F1" w:rsidRPr="008651F1" w:rsidRDefault="008651F1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7" w:name="_Ref471425347"/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Liu GR,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Dai KY, Lim KM and Gu YT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, A radial point interpolation method for simulation of two-dimensional piezoelectric structures, Smart Materials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and Structures.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12: 171-180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, 2003;</w:t>
      </w:r>
      <w:bookmarkEnd w:id="7"/>
    </w:p>
    <w:p w:rsidR="001624BF" w:rsidRPr="00445872" w:rsidRDefault="001624BF" w:rsidP="001624BF">
      <w:pPr>
        <w:rPr>
          <w:lang w:val="en-US"/>
        </w:rPr>
      </w:pPr>
    </w:p>
    <w:sectPr w:rsidR="001624BF" w:rsidRPr="0044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553"/>
    <w:multiLevelType w:val="hybridMultilevel"/>
    <w:tmpl w:val="C2306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6934F0"/>
    <w:multiLevelType w:val="hybridMultilevel"/>
    <w:tmpl w:val="D97270FE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50D210A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C4870E9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C8966BE"/>
    <w:multiLevelType w:val="hybridMultilevel"/>
    <w:tmpl w:val="68445116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8F"/>
    <w:rsid w:val="00000A27"/>
    <w:rsid w:val="00006F1B"/>
    <w:rsid w:val="000119B1"/>
    <w:rsid w:val="000368A7"/>
    <w:rsid w:val="00044BD0"/>
    <w:rsid w:val="00052A13"/>
    <w:rsid w:val="000533F6"/>
    <w:rsid w:val="00056CB5"/>
    <w:rsid w:val="000825FB"/>
    <w:rsid w:val="00084D12"/>
    <w:rsid w:val="00092416"/>
    <w:rsid w:val="000B7221"/>
    <w:rsid w:val="000E3967"/>
    <w:rsid w:val="001029BB"/>
    <w:rsid w:val="001042C6"/>
    <w:rsid w:val="00107A9D"/>
    <w:rsid w:val="00122D55"/>
    <w:rsid w:val="00126BEC"/>
    <w:rsid w:val="00132E53"/>
    <w:rsid w:val="00155F4F"/>
    <w:rsid w:val="001624BF"/>
    <w:rsid w:val="00164394"/>
    <w:rsid w:val="001703ED"/>
    <w:rsid w:val="001752BE"/>
    <w:rsid w:val="001902F1"/>
    <w:rsid w:val="001B3F99"/>
    <w:rsid w:val="001C7992"/>
    <w:rsid w:val="001D3A9E"/>
    <w:rsid w:val="001E2B68"/>
    <w:rsid w:val="001E38F2"/>
    <w:rsid w:val="001F1772"/>
    <w:rsid w:val="00203070"/>
    <w:rsid w:val="0022552A"/>
    <w:rsid w:val="00226D6E"/>
    <w:rsid w:val="00243563"/>
    <w:rsid w:val="00254207"/>
    <w:rsid w:val="002616AE"/>
    <w:rsid w:val="002629CD"/>
    <w:rsid w:val="00266B1A"/>
    <w:rsid w:val="0027596A"/>
    <w:rsid w:val="00285D11"/>
    <w:rsid w:val="002A1941"/>
    <w:rsid w:val="002A75F6"/>
    <w:rsid w:val="002B3723"/>
    <w:rsid w:val="002C2F94"/>
    <w:rsid w:val="00305BFE"/>
    <w:rsid w:val="0031296F"/>
    <w:rsid w:val="0032621D"/>
    <w:rsid w:val="00333C39"/>
    <w:rsid w:val="003550F8"/>
    <w:rsid w:val="00357B8F"/>
    <w:rsid w:val="003711FC"/>
    <w:rsid w:val="00381922"/>
    <w:rsid w:val="003860B9"/>
    <w:rsid w:val="003878B3"/>
    <w:rsid w:val="003975D5"/>
    <w:rsid w:val="003A1947"/>
    <w:rsid w:val="003B5EFC"/>
    <w:rsid w:val="003C1D84"/>
    <w:rsid w:val="003C1D93"/>
    <w:rsid w:val="003C6DF9"/>
    <w:rsid w:val="003D565A"/>
    <w:rsid w:val="0043470A"/>
    <w:rsid w:val="00445872"/>
    <w:rsid w:val="00462D7C"/>
    <w:rsid w:val="00473556"/>
    <w:rsid w:val="00485297"/>
    <w:rsid w:val="00486ECE"/>
    <w:rsid w:val="004B45C9"/>
    <w:rsid w:val="004C1253"/>
    <w:rsid w:val="004E4A61"/>
    <w:rsid w:val="004E7F7C"/>
    <w:rsid w:val="00505DE8"/>
    <w:rsid w:val="005079E7"/>
    <w:rsid w:val="005431D7"/>
    <w:rsid w:val="00552626"/>
    <w:rsid w:val="00557E0D"/>
    <w:rsid w:val="00571EEA"/>
    <w:rsid w:val="0057589D"/>
    <w:rsid w:val="00580C8F"/>
    <w:rsid w:val="00581515"/>
    <w:rsid w:val="00594C0D"/>
    <w:rsid w:val="005A0816"/>
    <w:rsid w:val="005B131E"/>
    <w:rsid w:val="005C03C6"/>
    <w:rsid w:val="005C77FD"/>
    <w:rsid w:val="005D0FC8"/>
    <w:rsid w:val="005D34F3"/>
    <w:rsid w:val="005D58FA"/>
    <w:rsid w:val="005E127B"/>
    <w:rsid w:val="005F622B"/>
    <w:rsid w:val="00603E96"/>
    <w:rsid w:val="006215E8"/>
    <w:rsid w:val="00637A7F"/>
    <w:rsid w:val="00637C48"/>
    <w:rsid w:val="00661D86"/>
    <w:rsid w:val="00671E15"/>
    <w:rsid w:val="006A2064"/>
    <w:rsid w:val="006A3CFE"/>
    <w:rsid w:val="006D1FB7"/>
    <w:rsid w:val="006F5180"/>
    <w:rsid w:val="006F5B65"/>
    <w:rsid w:val="006F69B5"/>
    <w:rsid w:val="00722C7F"/>
    <w:rsid w:val="00725E70"/>
    <w:rsid w:val="007271BC"/>
    <w:rsid w:val="00732482"/>
    <w:rsid w:val="00742694"/>
    <w:rsid w:val="0075069A"/>
    <w:rsid w:val="00766023"/>
    <w:rsid w:val="0077591C"/>
    <w:rsid w:val="00795E24"/>
    <w:rsid w:val="007C0B05"/>
    <w:rsid w:val="007C27DC"/>
    <w:rsid w:val="007D2031"/>
    <w:rsid w:val="007D7CCB"/>
    <w:rsid w:val="007E2BFD"/>
    <w:rsid w:val="007F4370"/>
    <w:rsid w:val="008069E0"/>
    <w:rsid w:val="0080721E"/>
    <w:rsid w:val="00812804"/>
    <w:rsid w:val="00814E6A"/>
    <w:rsid w:val="00822321"/>
    <w:rsid w:val="008277BF"/>
    <w:rsid w:val="00833042"/>
    <w:rsid w:val="00841077"/>
    <w:rsid w:val="0084157F"/>
    <w:rsid w:val="00860378"/>
    <w:rsid w:val="008620FB"/>
    <w:rsid w:val="008628A1"/>
    <w:rsid w:val="008651F1"/>
    <w:rsid w:val="00865370"/>
    <w:rsid w:val="00866ADC"/>
    <w:rsid w:val="008869F5"/>
    <w:rsid w:val="00886BF4"/>
    <w:rsid w:val="00890771"/>
    <w:rsid w:val="00897ED8"/>
    <w:rsid w:val="008A7E7D"/>
    <w:rsid w:val="008B22AE"/>
    <w:rsid w:val="008B54BB"/>
    <w:rsid w:val="008B5EBA"/>
    <w:rsid w:val="008D3815"/>
    <w:rsid w:val="008E0087"/>
    <w:rsid w:val="008E198B"/>
    <w:rsid w:val="009526CD"/>
    <w:rsid w:val="009660E4"/>
    <w:rsid w:val="0099686E"/>
    <w:rsid w:val="009974D5"/>
    <w:rsid w:val="009B11B4"/>
    <w:rsid w:val="009B3524"/>
    <w:rsid w:val="009B625B"/>
    <w:rsid w:val="009E07DA"/>
    <w:rsid w:val="009F28EF"/>
    <w:rsid w:val="009F2A2F"/>
    <w:rsid w:val="00A075D2"/>
    <w:rsid w:val="00A257C8"/>
    <w:rsid w:val="00A35686"/>
    <w:rsid w:val="00A419BA"/>
    <w:rsid w:val="00A43FEE"/>
    <w:rsid w:val="00A61DC5"/>
    <w:rsid w:val="00A61E05"/>
    <w:rsid w:val="00A67222"/>
    <w:rsid w:val="00A67FA6"/>
    <w:rsid w:val="00A77B87"/>
    <w:rsid w:val="00A81CCE"/>
    <w:rsid w:val="00A94330"/>
    <w:rsid w:val="00A94663"/>
    <w:rsid w:val="00AA06C0"/>
    <w:rsid w:val="00AA5C44"/>
    <w:rsid w:val="00AD0B3B"/>
    <w:rsid w:val="00AE477B"/>
    <w:rsid w:val="00AF2AE1"/>
    <w:rsid w:val="00B016A9"/>
    <w:rsid w:val="00B06DBD"/>
    <w:rsid w:val="00B14941"/>
    <w:rsid w:val="00B259CB"/>
    <w:rsid w:val="00B40F2F"/>
    <w:rsid w:val="00B42D79"/>
    <w:rsid w:val="00B45D63"/>
    <w:rsid w:val="00B717D2"/>
    <w:rsid w:val="00B72A3D"/>
    <w:rsid w:val="00B80E89"/>
    <w:rsid w:val="00B82920"/>
    <w:rsid w:val="00B8514D"/>
    <w:rsid w:val="00B92852"/>
    <w:rsid w:val="00B962C9"/>
    <w:rsid w:val="00BB05FD"/>
    <w:rsid w:val="00BF1064"/>
    <w:rsid w:val="00BF14AF"/>
    <w:rsid w:val="00C0474B"/>
    <w:rsid w:val="00C55F29"/>
    <w:rsid w:val="00C75927"/>
    <w:rsid w:val="00C7649A"/>
    <w:rsid w:val="00C809CA"/>
    <w:rsid w:val="00C81EF1"/>
    <w:rsid w:val="00C82F41"/>
    <w:rsid w:val="00C91152"/>
    <w:rsid w:val="00C94F57"/>
    <w:rsid w:val="00CC5644"/>
    <w:rsid w:val="00CD04BC"/>
    <w:rsid w:val="00CD6EFD"/>
    <w:rsid w:val="00CE3781"/>
    <w:rsid w:val="00CE487D"/>
    <w:rsid w:val="00D0130A"/>
    <w:rsid w:val="00D16484"/>
    <w:rsid w:val="00D46E48"/>
    <w:rsid w:val="00D47E76"/>
    <w:rsid w:val="00D51D7A"/>
    <w:rsid w:val="00D54449"/>
    <w:rsid w:val="00D61891"/>
    <w:rsid w:val="00D7299F"/>
    <w:rsid w:val="00D72A3F"/>
    <w:rsid w:val="00D74942"/>
    <w:rsid w:val="00D80A8E"/>
    <w:rsid w:val="00D9498A"/>
    <w:rsid w:val="00D97F7E"/>
    <w:rsid w:val="00DB0DD1"/>
    <w:rsid w:val="00DC2C27"/>
    <w:rsid w:val="00DC401E"/>
    <w:rsid w:val="00DD3C28"/>
    <w:rsid w:val="00E00A37"/>
    <w:rsid w:val="00E030B1"/>
    <w:rsid w:val="00E13D06"/>
    <w:rsid w:val="00E219DB"/>
    <w:rsid w:val="00E3203C"/>
    <w:rsid w:val="00E52298"/>
    <w:rsid w:val="00E533BD"/>
    <w:rsid w:val="00E86C9D"/>
    <w:rsid w:val="00EC3B25"/>
    <w:rsid w:val="00EC43D8"/>
    <w:rsid w:val="00EE214B"/>
    <w:rsid w:val="00EE6C79"/>
    <w:rsid w:val="00EF286C"/>
    <w:rsid w:val="00EF69FE"/>
    <w:rsid w:val="00F31859"/>
    <w:rsid w:val="00F41A40"/>
    <w:rsid w:val="00F515B2"/>
    <w:rsid w:val="00F55634"/>
    <w:rsid w:val="00F71677"/>
    <w:rsid w:val="00F8612C"/>
    <w:rsid w:val="00F87B03"/>
    <w:rsid w:val="00F87BB4"/>
    <w:rsid w:val="00F93E98"/>
    <w:rsid w:val="00F97A2B"/>
    <w:rsid w:val="00FC40D2"/>
    <w:rsid w:val="00FC68CF"/>
    <w:rsid w:val="00FE4377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367FD-170F-40FB-8432-A385F85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2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9F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58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E7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970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86582832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66DE3A-3E08-4D72-A809-817501293FC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DB66-8F3E-4B7D-BB18-9CDA11DF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2016-12-14T07:40:00Z</dcterms:created>
  <dcterms:modified xsi:type="dcterms:W3CDTF">2017-01-08T21:04:00Z</dcterms:modified>
</cp:coreProperties>
</file>