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674F7B23" w14:textId="339D602D" w:rsidR="00FD58D2" w:rsidRPr="00940FDB" w:rsidRDefault="000D5BE4" w:rsidP="00FD58D2">
            <w:pPr>
              <w:spacing w:line="360" w:lineRule="auto"/>
              <w:ind w:firstLine="708"/>
              <w:contextualSpacing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 xml:space="preserve">Тема: </w:t>
            </w:r>
            <w:r w:rsidR="00FD58D2" w:rsidRPr="00FD58D2">
              <w:rPr>
                <w:rFonts w:ascii="Times New Roman" w:hAnsi="Times New Roman"/>
                <w:bCs/>
                <w:sz w:val="28"/>
                <w:szCs w:val="24"/>
                <w:u w:val="single"/>
              </w:rPr>
              <w:t>Исследование возможностей разрешения целей по радиальной скорости в импульсной РЛС.</w:t>
            </w:r>
          </w:p>
          <w:p w14:paraId="2EEFBE61" w14:textId="6F33DC75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06D5E5F3" w:rsidR="000D5BE4" w:rsidRPr="00A163D6" w:rsidRDefault="00A163D6" w:rsidP="000D5B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Пугачев 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6F357D77" w14:textId="006E9D3E" w:rsidR="00FD58D2" w:rsidRPr="00F67F7B" w:rsidRDefault="00FD58D2" w:rsidP="00FD58D2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67F7B">
        <w:rPr>
          <w:rFonts w:ascii="Times New Roman" w:hAnsi="Times New Roman"/>
          <w:b/>
          <w:sz w:val="28"/>
          <w:szCs w:val="28"/>
        </w:rPr>
        <w:lastRenderedPageBreak/>
        <w:t>Исследование возможностей разрешения целей по радиальной скорости в импульсной РЛС.</w:t>
      </w:r>
    </w:p>
    <w:p w14:paraId="2E92FA90" w14:textId="3FC19921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Цель работы: исследование влияния длительности импульса на разрешающую способность по радиальной скорости.</w:t>
      </w:r>
    </w:p>
    <w:p w14:paraId="0C62C934" w14:textId="77777777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Мерой разрешающей способности РЛС по параметру </w:t>
      </w:r>
      <w:r w:rsidRPr="00F67F7B">
        <w:rPr>
          <w:rFonts w:ascii="Times New Roman" w:hAnsi="Times New Roman"/>
          <w:sz w:val="28"/>
          <w:szCs w:val="28"/>
        </w:rPr>
        <w:sym w:font="Symbol" w:char="F061"/>
      </w:r>
      <w:r w:rsidRPr="00F67F7B">
        <w:rPr>
          <w:rFonts w:ascii="Times New Roman" w:hAnsi="Times New Roman"/>
          <w:sz w:val="28"/>
          <w:szCs w:val="28"/>
        </w:rPr>
        <w:t>, предложенной Релеем, называется расстояние по этому параметру между точечными объектами, при котором отклики от этих объектов (эхосигналы) оказываются смещенными на свою ширину.</w:t>
      </w:r>
    </w:p>
    <w:p w14:paraId="44CD77FA" w14:textId="77D34EAA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Таким образом, мера разрешающей способности по любому параметру </w:t>
      </w:r>
      <w:r w:rsidRPr="00F67F7B">
        <w:rPr>
          <w:rFonts w:ascii="Times New Roman" w:hAnsi="Times New Roman"/>
          <w:sz w:val="28"/>
          <w:szCs w:val="28"/>
        </w:rPr>
        <w:sym w:font="Symbol" w:char="F061"/>
      </w:r>
      <w:r w:rsidRPr="00F67F7B">
        <w:rPr>
          <w:rFonts w:ascii="Times New Roman" w:hAnsi="Times New Roman"/>
          <w:sz w:val="28"/>
          <w:szCs w:val="28"/>
        </w:rPr>
        <w:t xml:space="preserve"> есть ширина отклика по этому параметру от точечной цели. Обычно ширина измеряется на уровне –3дБ от максимума (0,5 по мощности, 0,7 по напряжению).</w:t>
      </w:r>
      <w:r w:rsidR="00C61A8A">
        <w:rPr>
          <w:rFonts w:ascii="Times New Roman" w:hAnsi="Times New Roman"/>
          <w:sz w:val="28"/>
          <w:szCs w:val="28"/>
        </w:rPr>
        <w:t xml:space="preserve"> Пример отклика от двух целей представлен на рисунке 1.</w:t>
      </w:r>
    </w:p>
    <w:p w14:paraId="1980927B" w14:textId="4FCB8447" w:rsidR="00F67F7B" w:rsidRPr="00F67F7B" w:rsidRDefault="00F67F7B" w:rsidP="00F67F7B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A6D059" wp14:editId="0993AA26">
            <wp:extent cx="2772153" cy="1019175"/>
            <wp:effectExtent l="0" t="0" r="0" b="0"/>
            <wp:docPr id="7" name="Рисунок 7" descr="C:\2017_МАИ\_ПОСОБИЕ_РЛС\сканирование рис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C:\2017_МАИ\_ПОСОБИЕ_РЛС\сканирование рис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43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384B" w14:textId="42B3F5C6" w:rsidR="00F67F7B" w:rsidRPr="00F67F7B" w:rsidRDefault="00F67F7B" w:rsidP="00F67F7B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Рис.1. </w:t>
      </w:r>
      <w:r w:rsidR="00C61A8A">
        <w:rPr>
          <w:rFonts w:ascii="Times New Roman" w:hAnsi="Times New Roman"/>
          <w:sz w:val="28"/>
          <w:szCs w:val="28"/>
        </w:rPr>
        <w:t>О</w:t>
      </w:r>
      <w:r w:rsidRPr="00F67F7B">
        <w:rPr>
          <w:rFonts w:ascii="Times New Roman" w:hAnsi="Times New Roman"/>
          <w:sz w:val="28"/>
          <w:szCs w:val="28"/>
        </w:rPr>
        <w:t>тклики от двух целей.</w:t>
      </w:r>
    </w:p>
    <w:p w14:paraId="75FC9D9D" w14:textId="1100D224" w:rsidR="00F67F7B" w:rsidRPr="00C61A8A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Разрешение по дальности полностью определяется шириной спектра сигнала и равно отношению скорости света к удвоенной ширине спектра сигнала. Универсальное выражение для разрешающей способности, т.е. протяженности одного элемента разрешения по дальности</w:t>
      </w:r>
      <w:r w:rsidR="00C61A8A">
        <w:rPr>
          <w:rFonts w:ascii="Times New Roman" w:hAnsi="Times New Roman"/>
          <w:sz w:val="28"/>
          <w:szCs w:val="28"/>
        </w:rPr>
        <w:t>:</w:t>
      </w:r>
    </w:p>
    <w:p w14:paraId="7737805A" w14:textId="711EB9E1" w:rsidR="00F67F7B" w:rsidRPr="00C61A8A" w:rsidRDefault="00C61A8A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38FD8FDD" w14:textId="77777777" w:rsidR="00C61A8A" w:rsidRDefault="00F67F7B" w:rsidP="00C61A8A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годится для любого сигнала, а </w:t>
      </w:r>
    </w:p>
    <w:p w14:paraId="12459639" w14:textId="44382559" w:rsidR="00C61A8A" w:rsidRPr="00C61A8A" w:rsidRDefault="00C61A8A" w:rsidP="00C61A8A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4509392" w14:textId="16C67406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где </w:t>
      </w:r>
      <w:r w:rsidRPr="00F67F7B">
        <w:rPr>
          <w:rFonts w:ascii="Times New Roman" w:hAnsi="Times New Roman"/>
          <w:sz w:val="28"/>
          <w:szCs w:val="28"/>
        </w:rPr>
        <w:sym w:font="Symbol" w:char="F074"/>
      </w:r>
      <w:r w:rsidRPr="00B7008D">
        <w:rPr>
          <w:rFonts w:ascii="Times New Roman" w:hAnsi="Times New Roman"/>
          <w:sz w:val="28"/>
          <w:szCs w:val="28"/>
          <w:vertAlign w:val="subscript"/>
        </w:rPr>
        <w:t>и</w:t>
      </w:r>
      <w:r w:rsidRPr="00F67F7B">
        <w:rPr>
          <w:rFonts w:ascii="Times New Roman" w:hAnsi="Times New Roman"/>
          <w:sz w:val="28"/>
          <w:szCs w:val="28"/>
        </w:rPr>
        <w:t xml:space="preserve"> – длительность зондирующего</w:t>
      </w:r>
      <w:r w:rsidR="00B7008D">
        <w:rPr>
          <w:rFonts w:ascii="Times New Roman" w:hAnsi="Times New Roman"/>
          <w:sz w:val="28"/>
          <w:szCs w:val="28"/>
        </w:rPr>
        <w:t xml:space="preserve"> </w:t>
      </w:r>
      <w:r w:rsidRPr="00F67F7B">
        <w:rPr>
          <w:rFonts w:ascii="Times New Roman" w:hAnsi="Times New Roman"/>
          <w:sz w:val="28"/>
          <w:szCs w:val="28"/>
        </w:rPr>
        <w:t>импульса, только для простых сигналов без внутриимпульсной модуляции (ВИМ).</w:t>
      </w:r>
    </w:p>
    <w:p w14:paraId="2239FB84" w14:textId="77777777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Не следует путать разрешающую способность РЛС по дальности с точностью измерения дальности.</w:t>
      </w:r>
    </w:p>
    <w:p w14:paraId="4B9A452E" w14:textId="752A5811" w:rsidR="00F67F7B" w:rsidRPr="00B7008D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РЛС может измерять радиальную скорость цели доплеровским методом, т.е. используя эффект Доплера. Если дальность цели относительно РЛС изменяется, то частота принимаемого эхосигнала отличается от частоты зондирующего сигнала на </w:t>
      </w:r>
      <w:r w:rsidRPr="00F67F7B">
        <w:rPr>
          <w:rFonts w:ascii="Times New Roman" w:hAnsi="Times New Roman"/>
          <w:sz w:val="28"/>
          <w:szCs w:val="28"/>
        </w:rPr>
        <w:lastRenderedPageBreak/>
        <w:t>доплеровский сдвиг, пропорциональный скорости изменения дальности, т.е. радиальной скорости. Важно подчеркнуть, что на частоту сигнала влияет только радиальная составляющая скорости цели. Было показано, что сдвиг частоты</w:t>
      </w:r>
      <w:r w:rsidR="00B7008D">
        <w:rPr>
          <w:rFonts w:ascii="Times New Roman" w:hAnsi="Times New Roman"/>
          <w:sz w:val="28"/>
          <w:szCs w:val="28"/>
        </w:rPr>
        <w:t xml:space="preserve"> </w:t>
      </w:r>
      <w:r w:rsidR="00B7008D">
        <w:rPr>
          <w:rFonts w:ascii="Times New Roman" w:hAnsi="Times New Roman"/>
          <w:sz w:val="28"/>
          <w:szCs w:val="28"/>
          <w:lang w:val="en-US"/>
        </w:rPr>
        <w:t>F</w:t>
      </w:r>
      <w:r w:rsidR="00B7008D">
        <w:rPr>
          <w:rFonts w:ascii="Times New Roman" w:hAnsi="Times New Roman"/>
          <w:sz w:val="28"/>
          <w:szCs w:val="28"/>
          <w:vertAlign w:val="subscript"/>
        </w:rPr>
        <w:t>д</w:t>
      </w:r>
      <w:r w:rsidR="00B7008D">
        <w:rPr>
          <w:rFonts w:ascii="Times New Roman" w:hAnsi="Times New Roman"/>
          <w:sz w:val="28"/>
          <w:szCs w:val="28"/>
        </w:rPr>
        <w:t xml:space="preserve"> рассчитывается так:</w:t>
      </w:r>
    </w:p>
    <w:p w14:paraId="785CC176" w14:textId="643E3E2C" w:rsidR="00F67F7B" w:rsidRPr="00F67F7B" w:rsidRDefault="00A163D6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74F6F1A6" w14:textId="77777777" w:rsidR="00B7008D" w:rsidRDefault="00B7008D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Г</w:t>
      </w:r>
      <w:r w:rsidR="00F67F7B" w:rsidRPr="00F67F7B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:</w:t>
      </w:r>
    </w:p>
    <w:p w14:paraId="1976BE36" w14:textId="166177E9" w:rsidR="00F67F7B" w:rsidRPr="00631245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 f</w:t>
      </w:r>
      <w:r w:rsidR="00B7008D" w:rsidRPr="00B7008D">
        <w:rPr>
          <w:rFonts w:ascii="Times New Roman" w:hAnsi="Times New Roman"/>
          <w:sz w:val="28"/>
          <w:szCs w:val="28"/>
          <w:vertAlign w:val="subscript"/>
        </w:rPr>
        <w:t>0</w:t>
      </w:r>
      <w:r w:rsidR="00B7008D" w:rsidRPr="00F67F7B">
        <w:rPr>
          <w:rFonts w:ascii="Times New Roman" w:hAnsi="Times New Roman"/>
          <w:sz w:val="28"/>
          <w:szCs w:val="28"/>
        </w:rPr>
        <w:t xml:space="preserve"> -</w:t>
      </w:r>
      <w:r w:rsidRPr="00F67F7B">
        <w:rPr>
          <w:rFonts w:ascii="Times New Roman" w:hAnsi="Times New Roman"/>
          <w:sz w:val="28"/>
          <w:szCs w:val="28"/>
        </w:rPr>
        <w:t xml:space="preserve"> частота зондирующего сигнала, излученного РЛС</w:t>
      </w:r>
      <w:r w:rsidR="00C0192B">
        <w:rPr>
          <w:rFonts w:ascii="Times New Roman" w:hAnsi="Times New Roman"/>
          <w:sz w:val="28"/>
          <w:szCs w:val="28"/>
        </w:rPr>
        <w:t>;</w:t>
      </w:r>
    </w:p>
    <w:p w14:paraId="3441F06D" w14:textId="5AB74973" w:rsidR="00C0192B" w:rsidRPr="00C0192B" w:rsidRDefault="00C0192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R</w:t>
      </w:r>
      <w:r w:rsidRPr="00C019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019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радиальная скорость объекта.</w:t>
      </w:r>
    </w:p>
    <w:p w14:paraId="7B6BD848" w14:textId="77777777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По определению ошибки измерения какого-либо параметра – часть ширины его отклика на точечную цель. Если нужно точно измерять радиальную скорость цели, важно иметь «узкий» по V</w:t>
      </w:r>
      <w:r w:rsidRPr="002C3837">
        <w:rPr>
          <w:rFonts w:ascii="Times New Roman" w:hAnsi="Times New Roman"/>
          <w:sz w:val="28"/>
          <w:szCs w:val="28"/>
          <w:vertAlign w:val="subscript"/>
        </w:rPr>
        <w:t>R</w:t>
      </w:r>
      <w:r w:rsidRPr="00F67F7B">
        <w:rPr>
          <w:rFonts w:ascii="Times New Roman" w:hAnsi="Times New Roman"/>
          <w:sz w:val="28"/>
          <w:szCs w:val="28"/>
        </w:rPr>
        <w:t xml:space="preserve"> отклик. </w:t>
      </w:r>
    </w:p>
    <w:p w14:paraId="73554AF9" w14:textId="440B2CEF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Если дальность цели закодирована во времени запаздывания эхосигнала относительно зондирующего, то радиальная скорость закодирована в частотном сдвиге эхосигнала по сравнению с частотой зондирующего сигнала. Следовательно, разрешить две цели </w:t>
      </w:r>
      <w:r w:rsidR="002C3837" w:rsidRPr="00F67F7B">
        <w:rPr>
          <w:rFonts w:ascii="Times New Roman" w:hAnsi="Times New Roman"/>
          <w:sz w:val="28"/>
          <w:szCs w:val="28"/>
        </w:rPr>
        <w:t xml:space="preserve">по радиальной скорости </w:t>
      </w:r>
      <w:r w:rsidR="005E2BB1">
        <w:rPr>
          <w:rFonts w:ascii="Times New Roman" w:hAnsi="Times New Roman"/>
          <w:sz w:val="28"/>
          <w:szCs w:val="28"/>
        </w:rPr>
        <w:t>оз</w:t>
      </w:r>
      <w:r w:rsidR="002C3837" w:rsidRPr="00F67F7B">
        <w:rPr>
          <w:rFonts w:ascii="Times New Roman" w:hAnsi="Times New Roman"/>
          <w:sz w:val="28"/>
          <w:szCs w:val="28"/>
        </w:rPr>
        <w:t>нач</w:t>
      </w:r>
      <w:r w:rsidR="005E2BB1">
        <w:rPr>
          <w:rFonts w:ascii="Times New Roman" w:hAnsi="Times New Roman"/>
          <w:sz w:val="28"/>
          <w:szCs w:val="28"/>
        </w:rPr>
        <w:t>ае</w:t>
      </w:r>
      <w:r w:rsidR="002C3837" w:rsidRPr="00F67F7B">
        <w:rPr>
          <w:rFonts w:ascii="Times New Roman" w:hAnsi="Times New Roman"/>
          <w:sz w:val="28"/>
          <w:szCs w:val="28"/>
        </w:rPr>
        <w:t>т</w:t>
      </w:r>
      <w:r w:rsidRPr="00F67F7B">
        <w:rPr>
          <w:rFonts w:ascii="Times New Roman" w:hAnsi="Times New Roman"/>
          <w:sz w:val="28"/>
          <w:szCs w:val="28"/>
        </w:rPr>
        <w:t xml:space="preserve"> разрешить их по частоте.</w:t>
      </w:r>
    </w:p>
    <w:p w14:paraId="2A2A265F" w14:textId="049F3723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Рассмотрим простой импульсный сигнал– прямоугольный импульс с синусоидальным заполнением на частоте f</w:t>
      </w:r>
      <w:r w:rsidR="005E2BB1" w:rsidRPr="002C3837">
        <w:rPr>
          <w:rFonts w:ascii="Times New Roman" w:hAnsi="Times New Roman"/>
          <w:sz w:val="28"/>
          <w:szCs w:val="28"/>
          <w:vertAlign w:val="subscript"/>
        </w:rPr>
        <w:t>0</w:t>
      </w:r>
      <w:r w:rsidR="005E2BB1" w:rsidRPr="00F67F7B">
        <w:rPr>
          <w:rFonts w:ascii="Times New Roman" w:hAnsi="Times New Roman"/>
          <w:sz w:val="28"/>
          <w:szCs w:val="28"/>
        </w:rPr>
        <w:t>.</w:t>
      </w:r>
      <w:r w:rsidRPr="00F67F7B">
        <w:rPr>
          <w:rFonts w:ascii="Times New Roman" w:hAnsi="Times New Roman"/>
          <w:sz w:val="28"/>
          <w:szCs w:val="28"/>
        </w:rPr>
        <w:t xml:space="preserve"> Пусть длительность импульса </w:t>
      </w:r>
      <w:r w:rsidRPr="00F67F7B">
        <w:rPr>
          <w:rFonts w:ascii="Times New Roman" w:hAnsi="Times New Roman"/>
          <w:sz w:val="28"/>
          <w:szCs w:val="28"/>
        </w:rPr>
        <w:sym w:font="Symbol" w:char="F074"/>
      </w:r>
      <w:r w:rsidRPr="002C3837">
        <w:rPr>
          <w:rFonts w:ascii="Times New Roman" w:hAnsi="Times New Roman"/>
          <w:sz w:val="28"/>
          <w:szCs w:val="28"/>
          <w:vertAlign w:val="subscript"/>
        </w:rPr>
        <w:t>и</w:t>
      </w:r>
      <w:r w:rsidRPr="00F67F7B">
        <w:rPr>
          <w:rFonts w:ascii="Times New Roman" w:hAnsi="Times New Roman"/>
          <w:sz w:val="28"/>
          <w:szCs w:val="28"/>
        </w:rPr>
        <w:t xml:space="preserve"> </w:t>
      </w:r>
      <w:r w:rsidRPr="00F67F7B">
        <w:rPr>
          <w:rFonts w:ascii="Times New Roman" w:hAnsi="Times New Roman"/>
          <w:sz w:val="28"/>
          <w:szCs w:val="28"/>
        </w:rPr>
        <w:sym w:font="Symbol" w:char="F0BB"/>
      </w:r>
      <w:r w:rsidRPr="00F67F7B">
        <w:rPr>
          <w:rFonts w:ascii="Times New Roman" w:hAnsi="Times New Roman"/>
          <w:sz w:val="28"/>
          <w:szCs w:val="28"/>
        </w:rPr>
        <w:t xml:space="preserve"> 1 мкс.</w:t>
      </w:r>
    </w:p>
    <w:p w14:paraId="260B6EB1" w14:textId="52194BD7" w:rsidR="002C3837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Тогда спектр этого импульса имеет вид </w:t>
      </w:r>
      <w:r w:rsidR="005E2BB1" w:rsidRPr="00F67F7B">
        <w:rPr>
          <w:rFonts w:ascii="Times New Roman" w:hAnsi="Times New Roman"/>
          <w:sz w:val="28"/>
          <w:szCs w:val="28"/>
        </w:rPr>
        <w:t>функции:</w:t>
      </w:r>
    </w:p>
    <w:p w14:paraId="31CF74C0" w14:textId="78BE1606" w:rsidR="002C3837" w:rsidRDefault="00EB4B1D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(π(f-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π(f-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2E0EE45A" w14:textId="3987FCB5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 </w:t>
      </w:r>
      <w:r w:rsidR="002C3837">
        <w:rPr>
          <w:rFonts w:ascii="Times New Roman" w:hAnsi="Times New Roman"/>
          <w:sz w:val="28"/>
          <w:szCs w:val="28"/>
        </w:rPr>
        <w:t xml:space="preserve">С </w:t>
      </w:r>
      <w:r w:rsidRPr="00F67F7B">
        <w:rPr>
          <w:rFonts w:ascii="Times New Roman" w:hAnsi="Times New Roman"/>
          <w:sz w:val="28"/>
          <w:szCs w:val="28"/>
        </w:rPr>
        <w:t xml:space="preserve">шириной </w:t>
      </w:r>
      <w:r w:rsidRPr="00F67F7B">
        <w:rPr>
          <w:rFonts w:ascii="Times New Roman" w:hAnsi="Times New Roman"/>
          <w:sz w:val="28"/>
          <w:szCs w:val="28"/>
        </w:rPr>
        <w:sym w:font="Symbol" w:char="F044"/>
      </w:r>
      <w:r w:rsidRPr="00F67F7B">
        <w:rPr>
          <w:rFonts w:ascii="Times New Roman" w:hAnsi="Times New Roman"/>
          <w:sz w:val="28"/>
          <w:szCs w:val="28"/>
        </w:rPr>
        <w:t>f</w:t>
      </w:r>
      <w:r w:rsidRPr="005E2BB1">
        <w:rPr>
          <w:rFonts w:ascii="Times New Roman" w:hAnsi="Times New Roman"/>
          <w:sz w:val="28"/>
          <w:szCs w:val="28"/>
          <w:vertAlign w:val="subscript"/>
        </w:rPr>
        <w:t>с</w:t>
      </w:r>
      <w:r w:rsidRPr="00F67F7B">
        <w:rPr>
          <w:rFonts w:ascii="Times New Roman" w:hAnsi="Times New Roman"/>
          <w:sz w:val="28"/>
          <w:szCs w:val="28"/>
        </w:rPr>
        <w:t xml:space="preserve"> </w:t>
      </w:r>
      <w:r w:rsidRPr="00F67F7B">
        <w:rPr>
          <w:rFonts w:ascii="Times New Roman" w:hAnsi="Times New Roman"/>
          <w:sz w:val="28"/>
          <w:szCs w:val="28"/>
        </w:rPr>
        <w:sym w:font="Symbol" w:char="F0BB"/>
      </w:r>
      <w:r w:rsidRPr="00F67F7B">
        <w:rPr>
          <w:rFonts w:ascii="Times New Roman" w:hAnsi="Times New Roman"/>
          <w:sz w:val="28"/>
          <w:szCs w:val="28"/>
        </w:rPr>
        <w:t>1/</w:t>
      </w:r>
      <w:r w:rsidRPr="00F67F7B">
        <w:rPr>
          <w:rFonts w:ascii="Times New Roman" w:hAnsi="Times New Roman"/>
          <w:sz w:val="28"/>
          <w:szCs w:val="28"/>
        </w:rPr>
        <w:sym w:font="Symbol" w:char="F074"/>
      </w:r>
      <w:r w:rsidRPr="002C3837">
        <w:rPr>
          <w:rFonts w:ascii="Times New Roman" w:hAnsi="Times New Roman"/>
          <w:sz w:val="28"/>
          <w:szCs w:val="28"/>
          <w:vertAlign w:val="subscript"/>
        </w:rPr>
        <w:t>и</w:t>
      </w:r>
      <w:r w:rsidRPr="00F67F7B">
        <w:rPr>
          <w:rFonts w:ascii="Times New Roman" w:hAnsi="Times New Roman"/>
          <w:sz w:val="28"/>
          <w:szCs w:val="28"/>
        </w:rPr>
        <w:t xml:space="preserve"> = 1МГц.</w:t>
      </w:r>
    </w:p>
    <w:p w14:paraId="5E3A6FF2" w14:textId="27570D75" w:rsidR="005E2BB1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 xml:space="preserve">Пользуясь </w:t>
      </w:r>
      <w:r w:rsidR="002C3837">
        <w:rPr>
          <w:rFonts w:ascii="Times New Roman" w:hAnsi="Times New Roman"/>
          <w:sz w:val="28"/>
          <w:szCs w:val="28"/>
        </w:rPr>
        <w:t>Р</w:t>
      </w:r>
      <w:r w:rsidR="002C3837" w:rsidRPr="00F67F7B">
        <w:rPr>
          <w:rFonts w:ascii="Times New Roman" w:hAnsi="Times New Roman"/>
          <w:sz w:val="28"/>
          <w:szCs w:val="28"/>
        </w:rPr>
        <w:t>элеевской</w:t>
      </w:r>
      <w:r w:rsidRPr="00F67F7B">
        <w:rPr>
          <w:rFonts w:ascii="Times New Roman" w:hAnsi="Times New Roman"/>
          <w:sz w:val="28"/>
          <w:szCs w:val="28"/>
        </w:rPr>
        <w:t xml:space="preserve"> мерой разрешающей способности, видим, что разрешающая способность по частоте </w:t>
      </w:r>
      <w:r w:rsidRPr="00F67F7B">
        <w:rPr>
          <w:rFonts w:ascii="Times New Roman" w:hAnsi="Times New Roman"/>
          <w:sz w:val="28"/>
          <w:szCs w:val="28"/>
        </w:rPr>
        <w:sym w:font="Symbol" w:char="F064"/>
      </w:r>
      <w:r w:rsidRPr="00F67F7B">
        <w:rPr>
          <w:rFonts w:ascii="Times New Roman" w:hAnsi="Times New Roman"/>
          <w:sz w:val="28"/>
          <w:szCs w:val="28"/>
        </w:rPr>
        <w:t>F</w:t>
      </w:r>
      <w:r w:rsidRPr="002C3837">
        <w:rPr>
          <w:rFonts w:ascii="Times New Roman" w:hAnsi="Times New Roman"/>
          <w:sz w:val="28"/>
          <w:szCs w:val="28"/>
          <w:vertAlign w:val="subscript"/>
        </w:rPr>
        <w:t>д</w:t>
      </w:r>
      <w:r w:rsidRPr="00F67F7B">
        <w:rPr>
          <w:rFonts w:ascii="Times New Roman" w:hAnsi="Times New Roman"/>
          <w:sz w:val="28"/>
          <w:szCs w:val="28"/>
        </w:rPr>
        <w:t xml:space="preserve"> =1/</w:t>
      </w:r>
      <w:r w:rsidRPr="00F67F7B">
        <w:rPr>
          <w:rFonts w:ascii="Times New Roman" w:hAnsi="Times New Roman"/>
          <w:sz w:val="28"/>
          <w:szCs w:val="28"/>
        </w:rPr>
        <w:sym w:font="Symbol" w:char="F074"/>
      </w:r>
      <w:r w:rsidRPr="002C3837">
        <w:rPr>
          <w:rFonts w:ascii="Times New Roman" w:hAnsi="Times New Roman"/>
          <w:sz w:val="28"/>
          <w:szCs w:val="28"/>
          <w:vertAlign w:val="subscript"/>
        </w:rPr>
        <w:t>и</w:t>
      </w:r>
      <w:r w:rsidRPr="00F67F7B">
        <w:rPr>
          <w:rFonts w:ascii="Times New Roman" w:hAnsi="Times New Roman"/>
          <w:sz w:val="28"/>
          <w:szCs w:val="28"/>
        </w:rPr>
        <w:t>, а если перейти к радиальной скорости, учитывая, что F</w:t>
      </w:r>
      <w:r w:rsidRPr="00C0192B">
        <w:rPr>
          <w:rFonts w:ascii="Times New Roman" w:hAnsi="Times New Roman"/>
          <w:sz w:val="28"/>
          <w:szCs w:val="28"/>
          <w:vertAlign w:val="subscript"/>
        </w:rPr>
        <w:t>д</w:t>
      </w:r>
      <w:r w:rsidRPr="00F67F7B">
        <w:rPr>
          <w:rFonts w:ascii="Times New Roman" w:hAnsi="Times New Roman"/>
          <w:sz w:val="28"/>
          <w:szCs w:val="28"/>
        </w:rPr>
        <w:t xml:space="preserve"> =2V</w:t>
      </w:r>
      <w:r w:rsidRPr="00C0192B">
        <w:rPr>
          <w:rFonts w:ascii="Times New Roman" w:hAnsi="Times New Roman"/>
          <w:sz w:val="28"/>
          <w:szCs w:val="28"/>
          <w:vertAlign w:val="subscript"/>
        </w:rPr>
        <w:t>R</w:t>
      </w:r>
      <w:r w:rsidRPr="00F67F7B">
        <w:rPr>
          <w:rFonts w:ascii="Times New Roman" w:hAnsi="Times New Roman"/>
          <w:sz w:val="28"/>
          <w:szCs w:val="28"/>
        </w:rPr>
        <w:t>/</w:t>
      </w:r>
      <w:r w:rsidRPr="00F67F7B">
        <w:rPr>
          <w:rFonts w:ascii="Times New Roman" w:hAnsi="Times New Roman"/>
          <w:sz w:val="28"/>
          <w:szCs w:val="28"/>
        </w:rPr>
        <w:sym w:font="Symbol" w:char="F06C"/>
      </w:r>
      <w:r w:rsidRPr="00F67F7B">
        <w:rPr>
          <w:rFonts w:ascii="Times New Roman" w:hAnsi="Times New Roman"/>
          <w:sz w:val="28"/>
          <w:szCs w:val="28"/>
        </w:rPr>
        <w:t>, то получим</w:t>
      </w:r>
      <w:r w:rsidR="005E2BB1">
        <w:rPr>
          <w:rFonts w:ascii="Times New Roman" w:hAnsi="Times New Roman"/>
          <w:sz w:val="28"/>
          <w:szCs w:val="28"/>
        </w:rPr>
        <w:t>:</w:t>
      </w:r>
    </w:p>
    <w:p w14:paraId="24A50011" w14:textId="77777777" w:rsidR="005E2BB1" w:rsidRPr="005E2BB1" w:rsidRDefault="005E2BB1" w:rsidP="005E2BB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1F42498A" w14:textId="1128763D" w:rsidR="00F67F7B" w:rsidRPr="005E2BB1" w:rsidRDefault="00F67F7B" w:rsidP="004149A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Показано, что и в случае сложных сигналов, когда</w:t>
      </w:r>
      <w:r w:rsidR="004149A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den>
        </m:f>
      </m:oMath>
      <w:r w:rsidRPr="00F67F7B">
        <w:rPr>
          <w:rFonts w:ascii="Times New Roman" w:hAnsi="Times New Roman"/>
          <w:sz w:val="28"/>
          <w:szCs w:val="28"/>
        </w:rPr>
        <w:t xml:space="preserve">,  разрешающая способность зондирующих сигналов по доплеровской частоте полностью определяется длительностью сигнала </w:t>
      </w:r>
      <w:r w:rsidRPr="00F67F7B">
        <w:rPr>
          <w:rFonts w:ascii="Times New Roman" w:hAnsi="Times New Roman"/>
          <w:sz w:val="28"/>
          <w:szCs w:val="28"/>
        </w:rPr>
        <w:sym w:font="Symbol" w:char="F064"/>
      </w:r>
      <w:r w:rsidRPr="00F67F7B">
        <w:rPr>
          <w:rFonts w:ascii="Times New Roman" w:hAnsi="Times New Roman"/>
          <w:sz w:val="28"/>
          <w:szCs w:val="28"/>
        </w:rPr>
        <w:t>F</w:t>
      </w:r>
      <w:r w:rsidR="004149A0">
        <w:rPr>
          <w:rFonts w:ascii="Times New Roman" w:hAnsi="Times New Roman"/>
          <w:sz w:val="28"/>
          <w:szCs w:val="28"/>
          <w:vertAlign w:val="subscript"/>
        </w:rPr>
        <w:t>д</w:t>
      </w:r>
      <w:r w:rsidRPr="00F67F7B">
        <w:rPr>
          <w:rFonts w:ascii="Times New Roman" w:hAnsi="Times New Roman"/>
          <w:sz w:val="28"/>
          <w:szCs w:val="28"/>
        </w:rPr>
        <w:t xml:space="preserve"> =1/</w:t>
      </w:r>
      <w:r w:rsidRPr="00F67F7B">
        <w:rPr>
          <w:rFonts w:ascii="Times New Roman" w:hAnsi="Times New Roman"/>
          <w:sz w:val="28"/>
          <w:szCs w:val="28"/>
        </w:rPr>
        <w:sym w:font="Symbol" w:char="F074"/>
      </w:r>
      <w:r w:rsidRPr="004149A0">
        <w:rPr>
          <w:rFonts w:ascii="Times New Roman" w:hAnsi="Times New Roman"/>
          <w:sz w:val="28"/>
          <w:szCs w:val="28"/>
          <w:vertAlign w:val="subscript"/>
        </w:rPr>
        <w:t>и</w:t>
      </w:r>
      <w:r w:rsidRPr="00F67F7B">
        <w:rPr>
          <w:rFonts w:ascii="Times New Roman" w:hAnsi="Times New Roman"/>
          <w:sz w:val="28"/>
          <w:szCs w:val="28"/>
        </w:rPr>
        <w:t>, а по радиальной скорости – отношением длины волны к удвоенной длительности сигнала. Но во всех случаях</w:t>
      </w:r>
      <w:r w:rsidR="004149A0">
        <w:rPr>
          <w:rFonts w:ascii="Times New Roman" w:hAnsi="Times New Roman"/>
          <w:sz w:val="28"/>
          <w:szCs w:val="28"/>
        </w:rPr>
        <w:t xml:space="preserve"> </w:t>
      </w:r>
      <w:r w:rsidRPr="00F67F7B">
        <w:rPr>
          <w:rFonts w:ascii="Times New Roman" w:hAnsi="Times New Roman"/>
          <w:sz w:val="28"/>
          <w:szCs w:val="28"/>
        </w:rPr>
        <w:t xml:space="preserve">главный параметр – длительность сигнала, а не ширина его спектра. </w:t>
      </w:r>
    </w:p>
    <w:p w14:paraId="4D0C015C" w14:textId="694EA7D4" w:rsid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lastRenderedPageBreak/>
        <w:t xml:space="preserve">Итак, для достижения высокой разрешающей способности по радиальной скорости нужны сигналы большой длительности. </w:t>
      </w:r>
    </w:p>
    <w:p w14:paraId="09896B93" w14:textId="77777777" w:rsidR="009C0EBF" w:rsidRPr="00F67F7B" w:rsidRDefault="009C0EBF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A0AECA" w14:textId="4E6C7192" w:rsidR="00F67F7B" w:rsidRPr="000D25EF" w:rsidRDefault="000D25EF" w:rsidP="000D25EF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пример изменения разрешающей способности от величины τ</w:t>
      </w:r>
      <w:r w:rsidRPr="000D25EF">
        <w:rPr>
          <w:rFonts w:ascii="Times New Roman" w:hAnsi="Times New Roman"/>
          <w:sz w:val="28"/>
          <w:szCs w:val="28"/>
          <w:vertAlign w:val="subscript"/>
        </w:rPr>
        <w:t>и</w:t>
      </w:r>
      <w:r>
        <w:rPr>
          <w:rFonts w:ascii="Times New Roman" w:hAnsi="Times New Roman"/>
          <w:sz w:val="28"/>
          <w:szCs w:val="28"/>
        </w:rPr>
        <w:t>. Исходные данные представлены в таблице 1.</w:t>
      </w:r>
    </w:p>
    <w:p w14:paraId="3F5E5EDA" w14:textId="58CACC3D" w:rsidR="00F67F7B" w:rsidRPr="00F67F7B" w:rsidRDefault="000D25EF" w:rsidP="000D25E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Исходные данные.</w:t>
      </w:r>
    </w:p>
    <w:tbl>
      <w:tblPr>
        <w:tblStyle w:val="a3"/>
        <w:tblW w:w="0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F67F7B" w:rsidRPr="00F67F7B" w14:paraId="603F7AD2" w14:textId="77777777" w:rsidTr="004149A0">
        <w:trPr>
          <w:jc w:val="center"/>
        </w:trPr>
        <w:tc>
          <w:tcPr>
            <w:tcW w:w="4536" w:type="dxa"/>
            <w:vAlign w:val="center"/>
          </w:tcPr>
          <w:p w14:paraId="22699CBA" w14:textId="7777777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Несущая частота f</w:t>
            </w:r>
            <w:r w:rsidRPr="00EE4E91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, [Гц]</w:t>
            </w:r>
          </w:p>
        </w:tc>
        <w:tc>
          <w:tcPr>
            <w:tcW w:w="4536" w:type="dxa"/>
            <w:vAlign w:val="center"/>
          </w:tcPr>
          <w:p w14:paraId="48AE42A4" w14:textId="23AF31FC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3</w:t>
            </w:r>
            <w:r w:rsidR="004149A0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10</w:t>
            </w:r>
            <w:r w:rsidRPr="004149A0">
              <w:rPr>
                <w:rFonts w:ascii="Times New Roman" w:hAnsi="Times New Roman"/>
                <w:sz w:val="28"/>
                <w:szCs w:val="28"/>
                <w:vertAlign w:val="superscript"/>
              </w:rPr>
              <w:t>9</w:t>
            </w:r>
          </w:p>
        </w:tc>
      </w:tr>
      <w:tr w:rsidR="00F67F7B" w:rsidRPr="00F67F7B" w14:paraId="579BFD35" w14:textId="77777777" w:rsidTr="004149A0">
        <w:trPr>
          <w:jc w:val="center"/>
        </w:trPr>
        <w:tc>
          <w:tcPr>
            <w:tcW w:w="4536" w:type="dxa"/>
            <w:vMerge w:val="restart"/>
            <w:vAlign w:val="center"/>
          </w:tcPr>
          <w:p w14:paraId="7E57C40B" w14:textId="7777777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Длительность импульса τ</w:t>
            </w:r>
            <w:r w:rsidRPr="004149A0">
              <w:rPr>
                <w:rFonts w:ascii="Times New Roman" w:hAnsi="Times New Roman"/>
                <w:sz w:val="28"/>
                <w:szCs w:val="28"/>
                <w:vertAlign w:val="subscript"/>
              </w:rPr>
              <w:t>и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, [с]</w:t>
            </w:r>
          </w:p>
        </w:tc>
        <w:tc>
          <w:tcPr>
            <w:tcW w:w="4536" w:type="dxa"/>
            <w:vAlign w:val="center"/>
          </w:tcPr>
          <w:p w14:paraId="0808E092" w14:textId="4E1DFD9A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1</w:t>
            </w:r>
            <w:r w:rsidR="004149A0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10</w:t>
            </w:r>
            <w:r w:rsidRPr="004149A0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F67F7B" w:rsidRPr="00F67F7B" w14:paraId="1AA079B4" w14:textId="77777777" w:rsidTr="004149A0">
        <w:trPr>
          <w:jc w:val="center"/>
        </w:trPr>
        <w:tc>
          <w:tcPr>
            <w:tcW w:w="4536" w:type="dxa"/>
            <w:vMerge/>
            <w:vAlign w:val="center"/>
          </w:tcPr>
          <w:p w14:paraId="164DAEA0" w14:textId="7777777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3D30F7D5" w14:textId="33FF595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0,5</w:t>
            </w:r>
            <w:r w:rsidR="004149A0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10</w:t>
            </w:r>
            <w:r w:rsidRPr="004149A0"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F67F7B" w:rsidRPr="00F67F7B" w14:paraId="134A5351" w14:textId="77777777" w:rsidTr="004149A0">
        <w:trPr>
          <w:jc w:val="center"/>
        </w:trPr>
        <w:tc>
          <w:tcPr>
            <w:tcW w:w="4536" w:type="dxa"/>
            <w:vAlign w:val="center"/>
          </w:tcPr>
          <w:p w14:paraId="1969A145" w14:textId="131D47D9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Радиальная скорость V</w:t>
            </w:r>
            <w:r w:rsidRPr="004149A0">
              <w:rPr>
                <w:rFonts w:ascii="Times New Roman" w:hAnsi="Times New Roman"/>
                <w:sz w:val="28"/>
                <w:szCs w:val="28"/>
                <w:vertAlign w:val="subscript"/>
              </w:rPr>
              <w:t>R</w:t>
            </w:r>
            <w:r w:rsidRPr="00F67F7B">
              <w:rPr>
                <w:rFonts w:ascii="Times New Roman" w:hAnsi="Times New Roman"/>
                <w:sz w:val="28"/>
                <w:szCs w:val="28"/>
              </w:rPr>
              <w:t>, [м/с],</w:t>
            </w:r>
          </w:p>
          <w:p w14:paraId="045C945C" w14:textId="7777777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ЛА движутся на РЛС</w:t>
            </w:r>
          </w:p>
        </w:tc>
        <w:tc>
          <w:tcPr>
            <w:tcW w:w="4536" w:type="dxa"/>
            <w:vAlign w:val="center"/>
          </w:tcPr>
          <w:p w14:paraId="6EB43B0D" w14:textId="77777777" w:rsidR="00F67F7B" w:rsidRPr="00F67F7B" w:rsidRDefault="00F67F7B" w:rsidP="004149A0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7F7B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</w:tbl>
    <w:p w14:paraId="256B0BFD" w14:textId="77777777" w:rsidR="00F67F7B" w:rsidRPr="00F67F7B" w:rsidRDefault="00F67F7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B12DE3" w14:textId="06DD08E4" w:rsidR="000D25EF" w:rsidRDefault="000D25EF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сдвиг частоты по Доплеру при заданной радиальной скорости в случае приближения объекта:</w:t>
      </w:r>
    </w:p>
    <w:p w14:paraId="68AAB6DE" w14:textId="6552E714" w:rsidR="00BD10CE" w:rsidRPr="00BD10CE" w:rsidRDefault="00A163D6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2AF4E248" w14:textId="6AB89748" w:rsidR="00BD10CE" w:rsidRPr="00BD10CE" w:rsidRDefault="00A163D6" w:rsidP="00BD10C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+300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Гц</m:t>
          </m:r>
        </m:oMath>
      </m:oMathPara>
    </w:p>
    <w:p w14:paraId="27A974DC" w14:textId="66314631" w:rsidR="00BD10CE" w:rsidRDefault="00BD10CE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При приближении объекта к источнику излучения со скоростью 300 м/с, при несущей частоте 3 ГГц, сдвиг частоты</w:t>
      </w:r>
      <w:r w:rsidR="009466C9">
        <w:rPr>
          <w:rFonts w:ascii="Times New Roman" w:hAnsi="Times New Roman"/>
          <w:iCs/>
          <w:sz w:val="28"/>
          <w:szCs w:val="28"/>
        </w:rPr>
        <w:t xml:space="preserve"> отраженного сигнала</w:t>
      </w:r>
      <w:r>
        <w:rPr>
          <w:rFonts w:ascii="Times New Roman" w:hAnsi="Times New Roman"/>
          <w:iCs/>
          <w:sz w:val="28"/>
          <w:szCs w:val="28"/>
        </w:rPr>
        <w:t xml:space="preserve"> по Доплеру составит +6 кГц.</w:t>
      </w:r>
    </w:p>
    <w:p w14:paraId="31C576CF" w14:textId="4D0684DD" w:rsidR="00E70EF0" w:rsidRDefault="00E70EF0" w:rsidP="00E70E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Построим огибающую спектра сигнала с прямоугольными импульсами при несущей частоте </w:t>
      </w:r>
      <w:r>
        <w:rPr>
          <w:rFonts w:ascii="Times New Roman" w:hAnsi="Times New Roman"/>
          <w:iCs/>
          <w:sz w:val="28"/>
          <w:szCs w:val="28"/>
          <w:lang w:val="en-US"/>
        </w:rPr>
        <w:t>f</w:t>
      </w:r>
      <w:r w:rsidRPr="00E70EF0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E70EF0">
        <w:rPr>
          <w:rFonts w:ascii="Times New Roman" w:hAnsi="Times New Roman"/>
          <w:iCs/>
          <w:sz w:val="28"/>
          <w:szCs w:val="28"/>
        </w:rPr>
        <w:t>=3</w:t>
      </w:r>
      <w:r>
        <w:rPr>
          <w:rFonts w:ascii="Times New Roman" w:hAnsi="Times New Roman"/>
          <w:iCs/>
          <w:sz w:val="28"/>
          <w:szCs w:val="28"/>
        </w:rPr>
        <w:t>ГГц и длительности импульса τ</w:t>
      </w:r>
      <w:r>
        <w:rPr>
          <w:rFonts w:ascii="Times New Roman" w:hAnsi="Times New Roman"/>
          <w:iCs/>
          <w:sz w:val="28"/>
          <w:szCs w:val="28"/>
          <w:vertAlign w:val="subscript"/>
        </w:rPr>
        <w:t>и</w:t>
      </w:r>
      <w:r>
        <w:rPr>
          <w:rFonts w:ascii="Times New Roman" w:hAnsi="Times New Roman"/>
          <w:iCs/>
          <w:sz w:val="28"/>
          <w:szCs w:val="28"/>
        </w:rPr>
        <w:t>= 1 мкс, используя формулу:</w:t>
      </w:r>
    </w:p>
    <w:p w14:paraId="729F7FEF" w14:textId="6C1B4722" w:rsidR="00E70EF0" w:rsidRPr="009C015B" w:rsidRDefault="009C015B" w:rsidP="00E70E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S(f)=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(π(f-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π(f-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0E1D9354" w14:textId="020DA5E3" w:rsidR="009C015B" w:rsidRDefault="009C015B" w:rsidP="00E70E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построим огибающую спектра этого сигнала с частотой Доплера для приближающейся цели:</w:t>
      </w:r>
    </w:p>
    <w:p w14:paraId="7BA48C18" w14:textId="5DF3C827" w:rsidR="00E70EF0" w:rsidRPr="009C015B" w:rsidRDefault="00A163D6" w:rsidP="009C01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(f)=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(π(f-(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π(f-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011C4C9A" w14:textId="66B85297" w:rsidR="00F67F7B" w:rsidRDefault="00E70EF0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представлен на рисунке 2.</w:t>
      </w:r>
    </w:p>
    <w:p w14:paraId="484563DD" w14:textId="0A985752" w:rsidR="00E70EF0" w:rsidRDefault="009C015B" w:rsidP="00F67F7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5A9D96" wp14:editId="5C5C5131">
            <wp:extent cx="535305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766" w14:textId="77777777" w:rsidR="00DA2A79" w:rsidRDefault="006124CD" w:rsidP="006124CD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Огибающая спектра сигнал</w:t>
      </w:r>
      <w:r w:rsidR="009C015B">
        <w:rPr>
          <w:rFonts w:ascii="Times New Roman" w:hAnsi="Times New Roman"/>
          <w:sz w:val="28"/>
          <w:szCs w:val="28"/>
        </w:rPr>
        <w:t>а</w:t>
      </w:r>
      <w:r w:rsidR="00DA2A79">
        <w:rPr>
          <w:rFonts w:ascii="Times New Roman" w:hAnsi="Times New Roman"/>
          <w:sz w:val="28"/>
          <w:szCs w:val="28"/>
        </w:rPr>
        <w:t xml:space="preserve"> с прямоугольными импульсами</w:t>
      </w:r>
      <w:r>
        <w:rPr>
          <w:rFonts w:ascii="Times New Roman" w:hAnsi="Times New Roman"/>
          <w:sz w:val="28"/>
          <w:szCs w:val="28"/>
        </w:rPr>
        <w:t xml:space="preserve"> при</w:t>
      </w:r>
    </w:p>
    <w:p w14:paraId="5091F3C3" w14:textId="622B5321" w:rsidR="006124CD" w:rsidRDefault="006124CD" w:rsidP="006124CD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τ</w:t>
      </w:r>
      <w:r>
        <w:rPr>
          <w:rFonts w:ascii="Times New Roman" w:hAnsi="Times New Roman"/>
          <w:iCs/>
          <w:sz w:val="28"/>
          <w:szCs w:val="28"/>
          <w:vertAlign w:val="subscript"/>
        </w:rPr>
        <w:t>и</w:t>
      </w:r>
      <w:r>
        <w:rPr>
          <w:rFonts w:ascii="Times New Roman" w:hAnsi="Times New Roman"/>
          <w:iCs/>
          <w:sz w:val="28"/>
          <w:szCs w:val="28"/>
        </w:rPr>
        <w:t>= 1 мкс</w:t>
      </w:r>
      <w:r w:rsidR="009C015B">
        <w:rPr>
          <w:rFonts w:ascii="Times New Roman" w:hAnsi="Times New Roman"/>
          <w:iCs/>
          <w:sz w:val="28"/>
          <w:szCs w:val="28"/>
        </w:rPr>
        <w:t xml:space="preserve"> для несущей частоты и суммы несущей частоты с частотой Доплера.</w:t>
      </w:r>
    </w:p>
    <w:p w14:paraId="22FF8A90" w14:textId="2CC2552A" w:rsidR="008D1445" w:rsidRDefault="009C015B" w:rsidP="006124C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Как видно из рисунка 2, график сигнала с частотой Доплера практически накладывается на график сигнала</w:t>
      </w:r>
      <w:r w:rsidR="00DA2A79">
        <w:rPr>
          <w:rFonts w:ascii="Times New Roman" w:hAnsi="Times New Roman"/>
          <w:iCs/>
          <w:sz w:val="28"/>
          <w:szCs w:val="28"/>
        </w:rPr>
        <w:t xml:space="preserve"> без него</w:t>
      </w:r>
      <w:r>
        <w:rPr>
          <w:rFonts w:ascii="Times New Roman" w:hAnsi="Times New Roman"/>
          <w:iCs/>
          <w:sz w:val="28"/>
          <w:szCs w:val="28"/>
        </w:rPr>
        <w:t xml:space="preserve">. </w:t>
      </w:r>
      <w:r w:rsidR="006124CD">
        <w:rPr>
          <w:rFonts w:ascii="Times New Roman" w:hAnsi="Times New Roman"/>
          <w:iCs/>
          <w:sz w:val="28"/>
          <w:szCs w:val="28"/>
        </w:rPr>
        <w:t>Рассчитаем разрешение по Доплеру</w:t>
      </w:r>
      <w:r w:rsidR="00B74B0F">
        <w:rPr>
          <w:rFonts w:ascii="Times New Roman" w:hAnsi="Times New Roman"/>
          <w:iCs/>
          <w:sz w:val="28"/>
          <w:szCs w:val="28"/>
        </w:rPr>
        <w:t>:</w:t>
      </w:r>
    </w:p>
    <w:p w14:paraId="44754EBD" w14:textId="1BC7862E" w:rsidR="006124CD" w:rsidRDefault="008D1445" w:rsidP="006124C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этом частном случае разрешение по Доплеру будет равно ширине спектра, так как для расчётов взят простой сигнал с прямоугольными импульсами:</w:t>
      </w:r>
    </w:p>
    <w:p w14:paraId="2CC8DBC0" w14:textId="76D2106C" w:rsidR="006124CD" w:rsidRPr="008D1445" w:rsidRDefault="006124CD" w:rsidP="006124C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и</m:t>
                  </m:r>
                </m:sub>
              </m:sSub>
            </m:den>
          </m:f>
        </m:oMath>
      </m:oMathPara>
    </w:p>
    <w:p w14:paraId="19A7067D" w14:textId="507340F1" w:rsidR="008D1445" w:rsidRPr="008D1445" w:rsidRDefault="008D1445" w:rsidP="008D144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Гц</m:t>
          </m:r>
        </m:oMath>
      </m:oMathPara>
    </w:p>
    <w:p w14:paraId="708F3A29" w14:textId="7A642DC8" w:rsidR="008D1445" w:rsidRDefault="008D1445" w:rsidP="008D144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при длительности импульса 1 мкс РЛС сможет различить две цели, если их радиальная скорость даст сдвиг частоты по Доплеру </w:t>
      </w:r>
      <w:r w:rsidR="002D78F8">
        <w:rPr>
          <w:rFonts w:ascii="Times New Roman" w:hAnsi="Times New Roman"/>
          <w:sz w:val="28"/>
          <w:szCs w:val="28"/>
        </w:rPr>
        <w:t>не менее чем</w:t>
      </w:r>
      <w:r>
        <w:rPr>
          <w:rFonts w:ascii="Times New Roman" w:hAnsi="Times New Roman"/>
          <w:sz w:val="28"/>
          <w:szCs w:val="28"/>
        </w:rPr>
        <w:t xml:space="preserve"> 1 МГц, что намного больше 6 кГц, следовательно </w:t>
      </w:r>
      <w:r w:rsidR="00B74B0F">
        <w:rPr>
          <w:rFonts w:ascii="Times New Roman" w:hAnsi="Times New Roman"/>
          <w:sz w:val="28"/>
          <w:szCs w:val="28"/>
        </w:rPr>
        <w:t>РЛС не различит две цели.</w:t>
      </w:r>
    </w:p>
    <w:p w14:paraId="1F2653FA" w14:textId="01E992BF" w:rsidR="00B74B0F" w:rsidRDefault="00B74B0F" w:rsidP="008D144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разрешение по радиальной скорости:</w:t>
      </w:r>
    </w:p>
    <w:p w14:paraId="77E11A9B" w14:textId="11C6AE50" w:rsidR="008A6ED6" w:rsidRPr="008A6ED6" w:rsidRDefault="008A6ED6" w:rsidP="008A6ED6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0E19EC3C" w14:textId="198EB3F4" w:rsidR="008A6ED6" w:rsidRPr="008A6ED6" w:rsidRDefault="008A6ED6" w:rsidP="008A6ED6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=0.1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650D5BA2" w14:textId="7CDEFAFE" w:rsidR="008A6ED6" w:rsidRPr="008A6ED6" w:rsidRDefault="008A6ED6" w:rsidP="008A6ED6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м/с</m:t>
          </m:r>
        </m:oMath>
      </m:oMathPara>
    </w:p>
    <w:p w14:paraId="3D8000C1" w14:textId="0DD53FF2" w:rsidR="00B74B0F" w:rsidRPr="008D1445" w:rsidRDefault="008A6ED6" w:rsidP="00DA2A7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Следовательно, РСЛ различит две цели, если их разница в радиальной скорости будет равна 50000 м/с, т.е. 180</w:t>
      </w:r>
      <w:r w:rsidRPr="008A6ED6">
        <w:rPr>
          <w:rFonts w:ascii="Times New Roman" w:hAnsi="Times New Roman"/>
          <w:sz w:val="28"/>
          <w:szCs w:val="28"/>
        </w:rPr>
        <w:t>`</w:t>
      </w:r>
      <w:r>
        <w:rPr>
          <w:rFonts w:ascii="Times New Roman" w:hAnsi="Times New Roman"/>
          <w:sz w:val="28"/>
          <w:szCs w:val="28"/>
        </w:rPr>
        <w:t>000 км/ч.</w:t>
      </w:r>
    </w:p>
    <w:p w14:paraId="6CE173F4" w14:textId="128F8F24" w:rsidR="008A6ED6" w:rsidRDefault="008A6ED6" w:rsidP="002D78F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Рассмотрим случай, когда </w:t>
      </w:r>
      <w:r w:rsidR="00DA2A79">
        <w:rPr>
          <w:rFonts w:ascii="Times New Roman" w:hAnsi="Times New Roman"/>
          <w:iCs/>
          <w:sz w:val="28"/>
          <w:szCs w:val="28"/>
        </w:rPr>
        <w:t xml:space="preserve">в таком же сигнале </w:t>
      </w:r>
      <w:r>
        <w:rPr>
          <w:rFonts w:ascii="Times New Roman" w:hAnsi="Times New Roman"/>
          <w:iCs/>
          <w:sz w:val="28"/>
          <w:szCs w:val="28"/>
        </w:rPr>
        <w:t>длительность импульса τ</w:t>
      </w:r>
      <w:r>
        <w:rPr>
          <w:rFonts w:ascii="Times New Roman" w:hAnsi="Times New Roman"/>
          <w:iCs/>
          <w:sz w:val="28"/>
          <w:szCs w:val="28"/>
          <w:vertAlign w:val="subscript"/>
        </w:rPr>
        <w:t>и</w:t>
      </w:r>
      <w:r>
        <w:rPr>
          <w:rFonts w:ascii="Times New Roman" w:hAnsi="Times New Roman"/>
          <w:iCs/>
          <w:sz w:val="28"/>
          <w:szCs w:val="28"/>
        </w:rPr>
        <w:t>= 0,5 мс. Построим огибающ</w:t>
      </w:r>
      <w:r w:rsidR="00DA2A79">
        <w:rPr>
          <w:rFonts w:ascii="Times New Roman" w:hAnsi="Times New Roman"/>
          <w:iCs/>
          <w:sz w:val="28"/>
          <w:szCs w:val="28"/>
        </w:rPr>
        <w:t>ие</w:t>
      </w:r>
      <w:r>
        <w:rPr>
          <w:rFonts w:ascii="Times New Roman" w:hAnsi="Times New Roman"/>
          <w:iCs/>
          <w:sz w:val="28"/>
          <w:szCs w:val="28"/>
        </w:rPr>
        <w:t xml:space="preserve"> спектра такого сигнала</w:t>
      </w:r>
      <w:r w:rsidR="00DA2A79">
        <w:rPr>
          <w:rFonts w:ascii="Times New Roman" w:hAnsi="Times New Roman"/>
          <w:iCs/>
          <w:sz w:val="28"/>
          <w:szCs w:val="28"/>
        </w:rPr>
        <w:t xml:space="preserve"> и сигнала с частотой Доплера</w:t>
      </w:r>
      <w:r>
        <w:rPr>
          <w:rFonts w:ascii="Times New Roman" w:hAnsi="Times New Roman"/>
          <w:i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 представлен на рисунке 3.</w:t>
      </w:r>
    </w:p>
    <w:p w14:paraId="202A493C" w14:textId="036AD592" w:rsidR="008A6ED6" w:rsidRDefault="00DA2A79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0021B" wp14:editId="13AD84E7">
            <wp:extent cx="5400675" cy="3562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D6">
        <w:rPr>
          <w:noProof/>
        </w:rPr>
        <w:t xml:space="preserve"> </w:t>
      </w:r>
    </w:p>
    <w:p w14:paraId="1148445D" w14:textId="39D7553A" w:rsidR="008A6ED6" w:rsidRDefault="008A6ED6" w:rsidP="008A6ED6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 </w:t>
      </w:r>
      <w:r w:rsidR="00DA2A79">
        <w:rPr>
          <w:rFonts w:ascii="Times New Roman" w:hAnsi="Times New Roman"/>
          <w:sz w:val="28"/>
          <w:szCs w:val="28"/>
        </w:rPr>
        <w:t xml:space="preserve">Огибающая спектра сигнала с прямоугольными импульсами при </w:t>
      </w:r>
      <w:r w:rsidR="00DA2A79">
        <w:rPr>
          <w:rFonts w:ascii="Times New Roman" w:hAnsi="Times New Roman"/>
          <w:iCs/>
          <w:sz w:val="28"/>
          <w:szCs w:val="28"/>
        </w:rPr>
        <w:t>τ</w:t>
      </w:r>
      <w:r w:rsidR="00DA2A79">
        <w:rPr>
          <w:rFonts w:ascii="Times New Roman" w:hAnsi="Times New Roman"/>
          <w:iCs/>
          <w:sz w:val="28"/>
          <w:szCs w:val="28"/>
          <w:vertAlign w:val="subscript"/>
        </w:rPr>
        <w:t>и</w:t>
      </w:r>
      <w:r w:rsidR="00DA2A79">
        <w:rPr>
          <w:rFonts w:ascii="Times New Roman" w:hAnsi="Times New Roman"/>
          <w:iCs/>
          <w:sz w:val="28"/>
          <w:szCs w:val="28"/>
        </w:rPr>
        <w:t>= 0.5 мс для несущей частоты и суммы несущей частоты с частотой Доплера.</w:t>
      </w:r>
    </w:p>
    <w:p w14:paraId="77473325" w14:textId="0FCDEFED" w:rsidR="002D78F8" w:rsidRDefault="002D78F8" w:rsidP="002D78F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Как видно, ширина спектра стала намного меньше</w:t>
      </w:r>
      <w:r w:rsidR="00DA2A79">
        <w:rPr>
          <w:rFonts w:ascii="Times New Roman" w:hAnsi="Times New Roman"/>
          <w:iCs/>
          <w:sz w:val="28"/>
          <w:szCs w:val="28"/>
        </w:rPr>
        <w:t>, а сигнал с частотой Доплера заметно смещён относительно сигнала без него.</w:t>
      </w:r>
    </w:p>
    <w:p w14:paraId="1C7354CA" w14:textId="77777777" w:rsidR="008A6ED6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Рассчитаем разрешение по Доплеру:</w:t>
      </w:r>
    </w:p>
    <w:p w14:paraId="0F889B48" w14:textId="77777777" w:rsidR="008A6ED6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этом частном случае разрешение по Доплеру будет равно ширине спектра, так как для расчётов взят простой сигнал с прямоугольными импульсами:</w:t>
      </w:r>
    </w:p>
    <w:p w14:paraId="06B9E117" w14:textId="77777777" w:rsidR="008A6ED6" w:rsidRPr="008D1445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и</m:t>
                  </m:r>
                </m:sub>
              </m:sSub>
            </m:den>
          </m:f>
        </m:oMath>
      </m:oMathPara>
    </w:p>
    <w:p w14:paraId="23FCF138" w14:textId="4F4F6DD7" w:rsidR="008A6ED6" w:rsidRPr="008D1445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Гц</m:t>
          </m:r>
        </m:oMath>
      </m:oMathPara>
    </w:p>
    <w:p w14:paraId="39BEBE39" w14:textId="294C8A1F" w:rsidR="008A6ED6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при длительности импульса </w:t>
      </w:r>
      <w:r w:rsidR="002D78F8">
        <w:rPr>
          <w:rFonts w:ascii="Times New Roman" w:hAnsi="Times New Roman"/>
          <w:sz w:val="28"/>
          <w:szCs w:val="28"/>
        </w:rPr>
        <w:t>0.5 м</w:t>
      </w:r>
      <w:r>
        <w:rPr>
          <w:rFonts w:ascii="Times New Roman" w:hAnsi="Times New Roman"/>
          <w:sz w:val="28"/>
          <w:szCs w:val="28"/>
        </w:rPr>
        <w:t xml:space="preserve">с РЛС сможет различить две цели, если их радиальная скорость даст сдвиг частоты по Доплеру </w:t>
      </w:r>
      <w:r w:rsidR="002D78F8">
        <w:rPr>
          <w:rFonts w:ascii="Times New Roman" w:hAnsi="Times New Roman"/>
          <w:sz w:val="28"/>
          <w:szCs w:val="28"/>
        </w:rPr>
        <w:t>не меньше чем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2D78F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2D78F8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Гц</w:t>
      </w:r>
      <w:r w:rsidR="002D78F8">
        <w:rPr>
          <w:rFonts w:ascii="Times New Roman" w:hAnsi="Times New Roman"/>
          <w:sz w:val="28"/>
          <w:szCs w:val="28"/>
        </w:rPr>
        <w:t>. При сдвиге в</w:t>
      </w:r>
      <w:r>
        <w:rPr>
          <w:rFonts w:ascii="Times New Roman" w:hAnsi="Times New Roman"/>
          <w:sz w:val="28"/>
          <w:szCs w:val="28"/>
        </w:rPr>
        <w:t xml:space="preserve"> 6 кГц РЛС различит две цели.</w:t>
      </w:r>
    </w:p>
    <w:p w14:paraId="6594521E" w14:textId="77777777" w:rsidR="008A6ED6" w:rsidRDefault="008A6ED6" w:rsidP="008A6E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разрешение по радиальной скорости:</w:t>
      </w:r>
    </w:p>
    <w:p w14:paraId="76CEB870" w14:textId="1E1C61A2" w:rsidR="008A6ED6" w:rsidRPr="002D78F8" w:rsidRDefault="008A6ED6" w:rsidP="002D78F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p w14:paraId="73868E3B" w14:textId="5D3A4AE6" w:rsidR="008A6ED6" w:rsidRPr="008A6ED6" w:rsidRDefault="008A6ED6" w:rsidP="008A6ED6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(0.5*10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=100 м/с</m:t>
          </m:r>
        </m:oMath>
      </m:oMathPara>
    </w:p>
    <w:p w14:paraId="73CCFA30" w14:textId="6E24613F" w:rsidR="008D1445" w:rsidRDefault="008A6ED6" w:rsidP="006124C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РСЛ различит две цели, если их разница в радиальной скорости будет равна </w:t>
      </w:r>
      <w:r w:rsidR="002D78F8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 xml:space="preserve"> м/с, т.е. </w:t>
      </w:r>
      <w:r w:rsidR="002D78F8">
        <w:rPr>
          <w:rFonts w:ascii="Times New Roman" w:hAnsi="Times New Roman"/>
          <w:sz w:val="28"/>
          <w:szCs w:val="28"/>
        </w:rPr>
        <w:t xml:space="preserve">300 </w:t>
      </w:r>
      <w:r>
        <w:rPr>
          <w:rFonts w:ascii="Times New Roman" w:hAnsi="Times New Roman"/>
          <w:sz w:val="28"/>
          <w:szCs w:val="28"/>
        </w:rPr>
        <w:t>км/ч.</w:t>
      </w:r>
    </w:p>
    <w:p w14:paraId="04B39777" w14:textId="6109F61B" w:rsidR="00196113" w:rsidRDefault="00196113" w:rsidP="00196113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Выводы.</w:t>
      </w:r>
    </w:p>
    <w:p w14:paraId="563358ED" w14:textId="4539C289" w:rsidR="00196113" w:rsidRPr="00196113" w:rsidRDefault="00196113" w:rsidP="0019611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этой лабораторной работе были исследованы характеристики зондирующего сигнала импульсной РЛС. Из полученных данных можно заключить, что чем больше длина импульса, тем больше расхождение спектров сигнала и отраженного сигнала с частотой Доплера. Следовательно, увеличение длительности импульса РЛС приводит к увеличению разрешающей способности по радиальной скорости.</w:t>
      </w:r>
    </w:p>
    <w:sectPr w:rsidR="00196113" w:rsidRPr="00196113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23B"/>
    <w:multiLevelType w:val="hybridMultilevel"/>
    <w:tmpl w:val="08D2C9A6"/>
    <w:lvl w:ilvl="0" w:tplc="260A95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A47F5"/>
    <w:rsid w:val="000B69AB"/>
    <w:rsid w:val="000D0D05"/>
    <w:rsid w:val="000D222D"/>
    <w:rsid w:val="000D25EF"/>
    <w:rsid w:val="000D5BE4"/>
    <w:rsid w:val="000D65C9"/>
    <w:rsid w:val="00100513"/>
    <w:rsid w:val="0010356F"/>
    <w:rsid w:val="001350F3"/>
    <w:rsid w:val="001447B2"/>
    <w:rsid w:val="00162DDB"/>
    <w:rsid w:val="00193696"/>
    <w:rsid w:val="00196113"/>
    <w:rsid w:val="00197191"/>
    <w:rsid w:val="001B1989"/>
    <w:rsid w:val="001D5F1E"/>
    <w:rsid w:val="00207010"/>
    <w:rsid w:val="00215919"/>
    <w:rsid w:val="00261F5A"/>
    <w:rsid w:val="002C3837"/>
    <w:rsid w:val="002D78F8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149A0"/>
    <w:rsid w:val="00482146"/>
    <w:rsid w:val="00487EB4"/>
    <w:rsid w:val="0049606E"/>
    <w:rsid w:val="004B4788"/>
    <w:rsid w:val="004B489F"/>
    <w:rsid w:val="004C29E9"/>
    <w:rsid w:val="00571358"/>
    <w:rsid w:val="00576056"/>
    <w:rsid w:val="00585775"/>
    <w:rsid w:val="00587EB5"/>
    <w:rsid w:val="005B2DFB"/>
    <w:rsid w:val="005E2BB1"/>
    <w:rsid w:val="006124CD"/>
    <w:rsid w:val="00631245"/>
    <w:rsid w:val="00650EE0"/>
    <w:rsid w:val="0065251D"/>
    <w:rsid w:val="006564E7"/>
    <w:rsid w:val="006A62A0"/>
    <w:rsid w:val="006B6E8C"/>
    <w:rsid w:val="00704F33"/>
    <w:rsid w:val="00705751"/>
    <w:rsid w:val="007250E5"/>
    <w:rsid w:val="007F410E"/>
    <w:rsid w:val="008223B8"/>
    <w:rsid w:val="008412AF"/>
    <w:rsid w:val="00845E42"/>
    <w:rsid w:val="00850D68"/>
    <w:rsid w:val="008A6ED6"/>
    <w:rsid w:val="008D1445"/>
    <w:rsid w:val="00911925"/>
    <w:rsid w:val="009466C9"/>
    <w:rsid w:val="009A71DA"/>
    <w:rsid w:val="009C015B"/>
    <w:rsid w:val="009C0EBF"/>
    <w:rsid w:val="009F0B9D"/>
    <w:rsid w:val="00A147EF"/>
    <w:rsid w:val="00A1583B"/>
    <w:rsid w:val="00A163D6"/>
    <w:rsid w:val="00A166FA"/>
    <w:rsid w:val="00A35C11"/>
    <w:rsid w:val="00AA64EC"/>
    <w:rsid w:val="00AC3DFE"/>
    <w:rsid w:val="00B7008D"/>
    <w:rsid w:val="00B73E48"/>
    <w:rsid w:val="00B74B0F"/>
    <w:rsid w:val="00B87E6E"/>
    <w:rsid w:val="00BD10CE"/>
    <w:rsid w:val="00BE1E02"/>
    <w:rsid w:val="00BE328C"/>
    <w:rsid w:val="00C003C5"/>
    <w:rsid w:val="00C0192B"/>
    <w:rsid w:val="00C06C49"/>
    <w:rsid w:val="00C61A8A"/>
    <w:rsid w:val="00C809A4"/>
    <w:rsid w:val="00CA2FD8"/>
    <w:rsid w:val="00CB7814"/>
    <w:rsid w:val="00CE0049"/>
    <w:rsid w:val="00D12D8F"/>
    <w:rsid w:val="00D204DF"/>
    <w:rsid w:val="00D75C3D"/>
    <w:rsid w:val="00D915F4"/>
    <w:rsid w:val="00DA2A79"/>
    <w:rsid w:val="00DE68D5"/>
    <w:rsid w:val="00E0648C"/>
    <w:rsid w:val="00E17555"/>
    <w:rsid w:val="00E32B95"/>
    <w:rsid w:val="00E525D6"/>
    <w:rsid w:val="00E70EF0"/>
    <w:rsid w:val="00EB4B1D"/>
    <w:rsid w:val="00EE4E91"/>
    <w:rsid w:val="00F6682E"/>
    <w:rsid w:val="00F67F7B"/>
    <w:rsid w:val="00F91AA7"/>
    <w:rsid w:val="00FD58D2"/>
    <w:rsid w:val="00FE2498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A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C502D-C1C0-4D86-AEEE-06AC3533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Максим Пугачёв</cp:lastModifiedBy>
  <cp:revision>32</cp:revision>
  <cp:lastPrinted>2018-10-31T10:19:00Z</cp:lastPrinted>
  <dcterms:created xsi:type="dcterms:W3CDTF">2020-03-31T13:59:00Z</dcterms:created>
  <dcterms:modified xsi:type="dcterms:W3CDTF">2020-05-12T12:19:00Z</dcterms:modified>
</cp:coreProperties>
</file>