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tbl>
      <w:tblPr>
        <w:tblW w:w="10260" w:type="dxa"/>
        <w:tblInd w:w="-743" w:type="dxa"/>
        <w:tblLayout w:type="autofit"/>
        <w:tblCellMar>
          <w:top w:w="0" w:type="dxa"/>
          <w:left w:w="108" w:type="dxa"/>
          <w:bottom w:w="0" w:type="dxa"/>
          <w:right w:w="108" w:type="dxa"/>
        </w:tblCellMar>
      </w:tblPr>
      <w:tblGrid>
        <w:gridCol w:w="5850"/>
        <w:gridCol w:w="4410"/>
      </w:tblGrid>
      <w:tr>
        <w:tblPrEx>
          <w:tblCellMar>
            <w:top w:w="0" w:type="dxa"/>
            <w:left w:w="108" w:type="dxa"/>
            <w:bottom w:w="0" w:type="dxa"/>
            <w:right w:w="108" w:type="dxa"/>
          </w:tblCellMar>
        </w:tblPrEx>
        <w:trPr>
          <w:wBefore w:w="0" w:type="dxa"/>
          <w:wAfter w:w="0" w:type="dxa"/>
          <w:trHeight w:hRule="atLeast" w:val="900"/>
        </w:trPr>
        <w:tc>
          <w:tcPr>
            <w:tcW w:w="5850" w:type="dxa"/>
            <w:noWrap w:val="0"/>
            <w:vAlign w:val="top"/>
          </w:tcPr>
          <w:p>
            <w:pPr>
              <w:jc w:val="center"/>
              <w:rPr>
                <w:sz w:val="28"/>
                <w:szCs w:val="28"/>
              </w:rPr>
            </w:pPr>
            <w:bookmarkStart w:id="0" w:name="_GoBack"/>
            <w:bookmarkEnd w:id="0"/>
            <w:r>
              <w:rPr>
                <w:sz w:val="28"/>
                <w:szCs w:val="28"/>
              </w:rPr>
              <w:t>ĐẢNG BỘ QUÂN ĐỘI</w:t>
            </w:r>
          </w:p>
          <w:p>
            <w:pPr>
              <w:jc w:val="center"/>
              <w:rPr>
                <w:b w:val="1"/>
                <w:sz w:val="28"/>
                <w:szCs w:val="28"/>
              </w:rPr>
            </w:pPr>
            <w:r>
              <w:rPr>
                <w:b w:val="1"/>
                <w:sz w:val="28"/>
                <w:szCs w:val="28"/>
              </w:rPr>
              <w:t>ĐẢNG ỦY NGÂN HÀNG TMCP QUÂN ĐỘI</w:t>
            </w:r>
          </w:p>
          <w:p>
            <w:pPr>
              <w:jc w:val="center"/>
              <w:rPr>
                <w:sz w:val="28"/>
                <w:szCs w:val="28"/>
              </w:rPr>
            </w:pPr>
            <w:r>
              <w:rPr>
                <w:sz w:val="28"/>
                <w:szCs w:val="28"/>
              </w:rPr>
              <w:t>*</w:t>
            </w:r>
          </w:p>
          <w:p>
            <w:pPr>
              <w:jc w:val="center"/>
              <w:rPr>
                <w:sz w:val="28"/>
                <w:szCs w:val="28"/>
              </w:rPr>
            </w:pPr>
            <w:r>
              <w:rPr>
                <w:sz w:val="28"/>
                <w:szCs w:val="28"/>
              </w:rPr>
              <w:t xml:space="preserve">Số </w:t>
            </w:r>
            <w:r>
              <w:rPr>
                <w:rFonts w:hint="default"/>
                <w:sz w:val="28"/>
                <w:szCs w:val="28"/>
                <w:rtl w:val="0"/>
                <w:lang w:val="en-GB" w:bidi="en-GB" w:eastAsia="en-GB"/>
              </w:rPr>
              <w:t>[[SO_QD]]</w:t>
            </w:r>
            <w:r>
              <w:rPr>
                <w:rFonts w:hint="default"/>
                <w:sz w:val="28"/>
                <w:szCs w:val="28"/>
                <w:lang w:val="en-GB"/>
              </w:rPr>
              <w:t xml:space="preserve"> </w:t>
            </w:r>
            <w:r>
              <w:rPr>
                <w:sz w:val="28"/>
                <w:szCs w:val="28"/>
              </w:rPr>
              <w:t>-QĐ/ĐU</w:t>
            </w:r>
          </w:p>
        </w:tc>
        <w:tc>
          <w:tcPr>
            <w:tcW w:w="4410" w:type="dxa"/>
            <w:noWrap w:val="0"/>
            <w:vAlign w:val="top"/>
          </w:tcPr>
          <w:p>
            <w:pPr>
              <w:tabs>
                <w:tab w:val="left" w:pos="1880" w:leader="none"/>
                <w:tab w:val="left" w:pos="2040" w:leader="none"/>
                <w:tab w:val="left" w:pos="5760" w:leader="none"/>
              </w:tabs>
              <w:jc w:val="center"/>
              <w:rPr>
                <w:b w:val="1"/>
                <w:sz w:val="30"/>
                <w:szCs w:val="30"/>
              </w:rPr>
            </w:pPr>
            <w:r>
              <w:rPr>
                <w:b w:val="1"/>
                <w:sz w:val="30"/>
                <w:szCs w:val="30"/>
              </w:rPr>
              <w:t>ĐẢNG CỘNG SẢN VIỆT NAM</w:t>
            </w:r>
          </w:p>
          <w:p>
            <w:pPr>
              <w:tabs>
                <w:tab w:val="left" w:pos="1880" w:leader="none"/>
                <w:tab w:val="left" w:pos="2040" w:leader="none"/>
                <w:tab w:val="left" w:pos="5760" w:leader="none"/>
              </w:tabs>
              <w:jc w:val="center"/>
              <w:rPr>
                <w:i w:val="1"/>
                <w:sz w:val="28"/>
                <w:szCs w:val="28"/>
              </w:rPr>
            </w:pPr>
            <w:r>
              <w:rPr>
                <w:i w:val="1"/>
                <w:sz w:val="28"/>
                <w:szCs w:val="28"/>
                <w:lang/>
              </w:rPr>
              <mc:AlternateContent>
                <mc:Choice Requires="wps">
                  <w:drawing>
                    <wp:anchor xmlns:wp="http://schemas.openxmlformats.org/drawingml/2006/wordprocessingDrawing" distT="0" distB="0" distL="114300" distR="114300" simplePos="0" relativeHeight="10" behindDoc="0" locked="0" layoutInCell="1" allowOverlap="1">
                      <wp:simplePos x="0" y="0"/>
                      <wp:positionH relativeFrom="column">
                        <wp:posOffset>42545</wp:posOffset>
                      </wp:positionH>
                      <wp:positionV relativeFrom="paragraph">
                        <wp:posOffset>17145</wp:posOffset>
                      </wp:positionV>
                      <wp:extent cx="2574290" cy="0"/>
                      <wp:effectExtent l="0" t="4445" r="0" b="5080"/>
                      <wp:wrapNone/>
                      <wp:docPr id="1" name="Lines 5"/>
                      <wp:cNvGraphicFramePr/>
                      <a:graphic xmlns:a="http://schemas.openxmlformats.org/drawingml/2006/main">
                        <a:graphicData uri="http://schemas.microsoft.com/office/word/2010/wordprocessingShape">
                          <wps:wsp>
                            <wps:cNvCnPr/>
                            <wps:spPr>
                              <a:xfrm>
                                <a:off x="0" y="0"/>
                                <a:ext cx="2574290" cy="0"/>
                              </a:xfrm>
                              <a:prstGeom prst="line"/>
                              <a:ln w="9525" cmpd="sng">
                                <a:solidFill>
                                  <a:srgbClr val="000000"/>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upright="1"/>
                          </wps:wsp>
                        </a:graphicData>
                      </a:graphic>
                    </wp:anchor>
                  </w:drawing>
                </mc:Choice>
                <mc:Fallback>
                  <w:pict>
                    <v:line xmlns:o="urn:schemas-microsoft-com:office:office" id="Lines 5" o:spid="_x0000_s1026" style="position:absolute;z-index:10;mso-wrap-distance-left:9pt;mso-wrap-distance-top:0pt;mso-wrap-distance-right:9pt;mso-wrap-distance-bottom:0pt;mso-position-horizontal:absolute;mso-position-horizontal-relative:text;mso-position-vertical:absolute;mso-position-vertical-relative:text" strokecolor="#000000" strokeweight="0.75pt" stroked="t" o:allowincell="t" from="3.35pt,1.35pt" to="206.05pt,1.35pt"/>
                  </w:pict>
                </mc:Fallback>
              </mc:AlternateContent>
            </w:r>
          </w:p>
          <w:p>
            <w:pPr>
              <w:tabs>
                <w:tab w:val="left" w:pos="1880" w:leader="none"/>
                <w:tab w:val="left" w:pos="2040" w:leader="none"/>
                <w:tab w:val="left" w:pos="5760" w:leader="none"/>
              </w:tabs>
              <w:jc w:val="center"/>
              <w:rPr>
                <w:i w:val="1"/>
                <w:sz w:val="28"/>
                <w:szCs w:val="28"/>
              </w:rPr>
            </w:pPr>
          </w:p>
          <w:p>
            <w:pPr>
              <w:tabs>
                <w:tab w:val="left" w:pos="1880" w:leader="none"/>
                <w:tab w:val="left" w:pos="2040" w:leader="none"/>
                <w:tab w:val="left" w:pos="5760" w:leader="none"/>
              </w:tabs>
              <w:jc w:val="center"/>
              <w:rPr>
                <w:i w:val="1"/>
                <w:sz w:val="28"/>
                <w:szCs w:val="28"/>
              </w:rPr>
            </w:pPr>
            <w:r>
              <w:rPr>
                <w:i w:val="1"/>
                <w:sz w:val="28"/>
                <w:szCs w:val="28"/>
              </w:rPr>
              <w:t xml:space="preserve">Hà Nội, ngày </w:t>
            </w:r>
            <w:r>
              <w:rPr>
                <w:rtl w:val="0"/>
                <w:lang w:val="en-GB" w:bidi="en-GB" w:eastAsia="en-GB"/>
              </w:rPr>
              <w:t>[[</w:t>
            </w:r>
            <w:r>
              <w:t>NGAY</w:t>
            </w:r>
            <w:r>
              <w:rPr>
                <w:rtl w:val="0"/>
                <w:lang w:val="en-GB" w:bidi="en-GB" w:eastAsia="en-GB"/>
              </w:rPr>
              <w:t xml:space="preserve">]] </w:t>
            </w:r>
            <w:r>
              <w:rPr>
                <w:i w:val="1"/>
                <w:sz w:val="28"/>
                <w:szCs w:val="28"/>
              </w:rPr>
              <w:t xml:space="preserve">tháng </w:t>
            </w:r>
            <w:r>
              <w:rPr>
                <w:rtl w:val="0"/>
                <w:lang w:val="en-GB" w:bidi="en-GB" w:eastAsia="en-GB"/>
              </w:rPr>
              <w:t>[[</w:t>
            </w:r>
            <w:r>
              <w:t>THANG</w:t>
            </w:r>
            <w:r>
              <w:rPr>
                <w:rtl w:val="0"/>
                <w:lang w:val="en-GB" w:bidi="en-GB" w:eastAsia="en-GB"/>
              </w:rPr>
              <w:t xml:space="preserve">]] </w:t>
            </w:r>
            <w:r>
              <w:rPr>
                <w:i w:val="1"/>
                <w:sz w:val="28"/>
                <w:szCs w:val="28"/>
              </w:rPr>
              <w:t>năm</w:t>
            </w:r>
          </w:p>
          <w:p>
            <w:pPr>
              <w:tabs>
                <w:tab w:val="left" w:pos="1880" w:leader="none"/>
                <w:tab w:val="left" w:pos="2040" w:leader="none"/>
                <w:tab w:val="left" w:pos="5760" w:leader="none"/>
              </w:tabs>
              <w:jc w:val="center"/>
            </w:pPr>
            <w:r>
              <w:rPr>
                <w:i w:val="1"/>
                <w:sz w:val="28"/>
                <w:szCs w:val="28"/>
                <w:rtl w:val="0"/>
                <w:lang w:val="en-GB" w:bidi="en-GB" w:eastAsia="en-GB"/>
              </w:rPr>
              <w:t xml:space="preserve"> </w:t>
            </w:r>
            <w:r>
              <w:rPr>
                <w:rtl w:val="0"/>
                <w:lang w:val="en-GB" w:bidi="en-GB" w:eastAsia="en-GB"/>
              </w:rPr>
              <w:t>[[</w:t>
            </w:r>
            <w:r>
              <w:t>NAM</w:t>
            </w:r>
            <w:r>
              <w:rPr>
                <w:rtl w:val="0"/>
                <w:lang w:val="en-GB" w:bidi="en-GB" w:eastAsia="en-GB"/>
              </w:rPr>
              <w:t>]]</w:t>
            </w:r>
          </w:p>
          <w:p>
            <w:pPr>
              <w:tabs>
                <w:tab w:val="left" w:pos="1880" w:leader="none"/>
                <w:tab w:val="left" w:pos="2040" w:leader="none"/>
                <w:tab w:val="left" w:pos="5760" w:leader="none"/>
              </w:tabs>
              <w:jc w:val="center"/>
              <w:rPr>
                <w:rFonts w:hint="default"/>
                <w:i w:val="1"/>
                <w:sz w:val="28"/>
                <w:szCs w:val="28"/>
                <w:lang w:val="en-GB"/>
              </w:rPr>
            </w:pPr>
          </w:p>
        </w:tc>
      </w:tr>
    </w:tbl>
    <w:p>
      <w:pPr>
        <w:spacing w:after="120" w:beforeAutospacing="0" w:afterAutospacing="0"/>
        <w:jc w:val="center"/>
        <w:rPr>
          <w:b w:val="1"/>
          <w:sz w:val="30"/>
          <w:szCs w:val="30"/>
          <w:lang w:val="fr-FR"/>
        </w:rPr>
      </w:pPr>
    </w:p>
    <w:p>
      <w:pPr>
        <w:jc w:val="center"/>
        <w:rPr>
          <w:b w:val="1"/>
          <w:sz w:val="28"/>
          <w:szCs w:val="28"/>
          <w:lang w:val="fr-FR"/>
        </w:rPr>
      </w:pPr>
      <w:r>
        <w:rPr>
          <w:b w:val="1"/>
          <w:sz w:val="28"/>
          <w:szCs w:val="28"/>
          <w:lang w:val="fr-FR"/>
        </w:rPr>
        <w:t>QUYẾT ĐỊNH</w:t>
      </w:r>
    </w:p>
    <w:p>
      <w:pPr>
        <w:jc w:val="center"/>
        <w:rPr>
          <w:b w:val="1"/>
          <w:sz w:val="26"/>
          <w:szCs w:val="26"/>
          <w:lang w:val="fr-FR"/>
        </w:rPr>
      </w:pPr>
      <w:r>
        <w:rPr>
          <w:b w:val="1"/>
          <w:sz w:val="26"/>
          <w:szCs w:val="26"/>
          <w:lang w:val="fr-FR"/>
        </w:rPr>
        <w:t xml:space="preserve">Chuẩn y kết quả bầu cử Ban chấp hành và các chức danh trong Ban chấp hành Hội phụ nữ Chi nhánh </w:t>
      </w:r>
      <w:r>
        <w:rPr>
          <w:rFonts w:hint="default"/>
          <w:b w:val="1"/>
          <w:sz w:val="26"/>
          <w:szCs w:val="26"/>
          <w:rtl w:val="0"/>
          <w:lang w:val="en-GB" w:bidi="en-GB" w:eastAsia="en-GB"/>
        </w:rPr>
        <w:t>[[</w:t>
      </w:r>
      <w:r>
        <w:rPr>
          <w:rFonts w:hint="default"/>
          <w:b w:val="1"/>
          <w:sz w:val="26"/>
          <w:szCs w:val="26"/>
          <w:lang w:val="fr-FR"/>
        </w:rPr>
        <w:t>CHI_NHANH</w:t>
      </w:r>
      <w:r>
        <w:rPr>
          <w:rFonts w:hint="default"/>
          <w:b w:val="1"/>
          <w:sz w:val="26"/>
          <w:szCs w:val="26"/>
          <w:rtl w:val="0"/>
          <w:lang w:val="en-GB" w:bidi="en-GB" w:eastAsia="en-GB"/>
        </w:rPr>
        <w:t>]]</w:t>
      </w:r>
      <w:r>
        <w:rPr>
          <w:b w:val="1"/>
          <w:sz w:val="26"/>
          <w:szCs w:val="26"/>
          <w:lang w:val="fr-FR"/>
        </w:rPr>
        <w:t xml:space="preserve"> nhiệm kỳ 2025 – 2030.</w:t>
      </w:r>
    </w:p>
    <w:p>
      <w:pPr>
        <w:jc w:val="center"/>
        <w:rPr>
          <w:b w:val="1"/>
          <w:color w:val="0000FF"/>
          <w:sz w:val="30"/>
          <w:szCs w:val="30"/>
          <w:lang w:val="fr-FR"/>
        </w:rPr>
      </w:pPr>
      <w:r>
        <w:rPr>
          <w:b w:val="1"/>
          <w:color w:val="0000FF"/>
          <w:sz w:val="28"/>
          <w:szCs w:val="28"/>
          <w:lang w:val="fr-FR"/>
        </w:rPr>
        <w:t>-----</w:t>
      </w:r>
    </w:p>
    <w:p>
      <w:pPr>
        <w:tabs>
          <w:tab w:val="left" w:pos="1260" w:leader="none"/>
        </w:tabs>
        <w:spacing w:lineRule="exact" w:line="360" w:before="120" w:after="120" w:beforeAutospacing="0" w:afterAutospacing="0"/>
        <w:ind w:firstLine="720"/>
        <w:jc w:val="center"/>
        <w:rPr>
          <w:b w:val="1"/>
          <w:bCs w:val="1"/>
          <w:sz w:val="26"/>
          <w:szCs w:val="26"/>
          <w:lang w:val="fr-FR"/>
        </w:rPr>
      </w:pPr>
      <w:r>
        <w:rPr>
          <w:b w:val="1"/>
          <w:bCs w:val="1"/>
          <w:sz w:val="26"/>
          <w:szCs w:val="26"/>
          <w:lang w:val="fr-FR"/>
        </w:rPr>
        <w:t>ĐẢNG ỦY NGÂN HÀNG TMCP QUÂN ĐỘI</w:t>
      </w:r>
    </w:p>
    <w:p>
      <w:pPr>
        <w:spacing w:lineRule="exact" w:line="360" w:beforeAutospacing="0" w:afterAutospacing="0"/>
        <w:ind w:firstLine="600"/>
        <w:jc w:val="both"/>
        <w:rPr>
          <w:sz w:val="26"/>
          <w:szCs w:val="26"/>
          <w:lang w:val="fr-FR"/>
        </w:rPr>
      </w:pPr>
      <w:r>
        <w:rPr>
          <w:sz w:val="26"/>
          <w:szCs w:val="26"/>
          <w:lang w:val="fr-FR"/>
        </w:rPr>
        <w:t>Căn cứ vào Điều lệ Hội Liên hiệp Phụ nữ Việt Nam;</w:t>
      </w:r>
    </w:p>
    <w:p>
      <w:pPr>
        <w:spacing w:lineRule="exact" w:line="360" w:beforeAutospacing="0" w:afterAutospacing="0"/>
        <w:ind w:firstLine="600"/>
        <w:jc w:val="both"/>
        <w:rPr>
          <w:sz w:val="26"/>
          <w:szCs w:val="26"/>
          <w:lang w:val="fr-FR"/>
        </w:rPr>
      </w:pPr>
      <w:r>
        <w:rPr>
          <w:sz w:val="26"/>
          <w:szCs w:val="26"/>
          <w:lang w:val="fr-FR"/>
        </w:rPr>
        <w:t>Căn cứ Quyết định số 3056/QĐ-CT ngày 16/10/2023 về việc ban hành Quy chế công tác Phụ nữ trong Quân đội nhân dân Việt Nam của Tổng cục Chính trị Quân đội nhân dân Việt Nam và Quy chế công tác phụ nữ trong Ngân hàng TMCP Quân đội;</w:t>
      </w:r>
    </w:p>
    <w:p>
      <w:pPr>
        <w:spacing w:lineRule="exact" w:line="360" w:beforeAutospacing="0" w:afterAutospacing="0"/>
        <w:ind w:firstLine="600"/>
        <w:jc w:val="both"/>
        <w:rPr>
          <w:iCs w:val="1"/>
          <w:sz w:val="26"/>
          <w:szCs w:val="26"/>
          <w:spacing w:val="-4"/>
          <w:lang w:val="fr-FR"/>
        </w:rPr>
      </w:pPr>
      <w:r>
        <w:rPr>
          <w:iCs w:val="1"/>
          <w:sz w:val="26"/>
          <w:szCs w:val="26"/>
          <w:spacing w:val="-4"/>
          <w:lang w:val="fr-FR"/>
        </w:rPr>
        <w:t xml:space="preserve">Căn cứ vào chức năng, quyền hạn của Đảng ủy Ngân hàng TMCP Quân đội; </w:t>
      </w:r>
    </w:p>
    <w:p>
      <w:pPr>
        <w:spacing w:lineRule="exact" w:line="360" w:beforeAutospacing="0" w:afterAutospacing="0"/>
        <w:ind w:firstLine="567"/>
        <w:jc w:val="both"/>
        <w:rPr>
          <w:sz w:val="26"/>
          <w:szCs w:val="26"/>
          <w:lang w:val="fr-FR"/>
        </w:rPr>
      </w:pPr>
      <w:r>
        <w:rPr>
          <w:sz w:val="26"/>
          <w:szCs w:val="26"/>
          <w:lang w:val="fr-FR"/>
        </w:rPr>
        <w:t xml:space="preserve">Căn cứ Tờ trình đề nghị chuẩn y kết quả bầu Ban chấp hành và các chức danh trong Ban chấp hành Hội phụ nữ Chi nhánh </w:t>
      </w:r>
      <w:r>
        <w:rPr>
          <w:rFonts w:hint="default"/>
          <w:sz w:val="26"/>
          <w:szCs w:val="26"/>
          <w:rtl w:val="0"/>
          <w:lang w:val="en-GB" w:bidi="en-GB" w:eastAsia="en-GB"/>
        </w:rPr>
        <w:t>[[</w:t>
      </w:r>
      <w:r>
        <w:rPr>
          <w:rFonts w:hint="default"/>
          <w:sz w:val="26"/>
          <w:szCs w:val="26"/>
          <w:lang w:val="fr-FR"/>
        </w:rPr>
        <w:t>CHI_NHANH</w:t>
      </w:r>
      <w:r>
        <w:rPr>
          <w:rFonts w:hint="default"/>
          <w:sz w:val="26"/>
          <w:szCs w:val="26"/>
          <w:rtl w:val="0"/>
          <w:lang w:val="en-GB" w:bidi="en-GB" w:eastAsia="en-GB"/>
        </w:rPr>
        <w:t>]]</w:t>
      </w:r>
      <w:r>
        <w:rPr>
          <w:sz w:val="26"/>
          <w:szCs w:val="26"/>
          <w:lang w:val="fr-FR"/>
        </w:rPr>
        <w:t xml:space="preserve"> nhiệm kỳ 2025- 2030. </w:t>
      </w:r>
    </w:p>
    <w:p>
      <w:pPr>
        <w:tabs>
          <w:tab w:val="left" w:pos="3600" w:leader="none"/>
        </w:tabs>
        <w:spacing w:lineRule="exact" w:line="360" w:before="120" w:after="120" w:beforeAutospacing="0" w:afterAutospacing="0"/>
        <w:jc w:val="center"/>
        <w:rPr>
          <w:b w:val="1"/>
          <w:sz w:val="26"/>
          <w:szCs w:val="26"/>
          <w:lang w:val="fr-FR"/>
        </w:rPr>
      </w:pPr>
      <w:r>
        <w:rPr>
          <w:b w:val="1"/>
          <w:sz w:val="26"/>
          <w:szCs w:val="26"/>
          <w:lang w:val="fr-FR"/>
        </w:rPr>
        <w:t xml:space="preserve"> QUYẾT ĐỊNH</w:t>
      </w:r>
    </w:p>
    <w:p>
      <w:pPr>
        <w:spacing w:lineRule="exact" w:line="360" w:beforeAutospacing="0" w:afterAutospacing="0"/>
        <w:ind w:firstLine="567"/>
        <w:jc w:val="both"/>
        <w:rPr>
          <w:sz w:val="26"/>
          <w:szCs w:val="26"/>
          <w:lang w:val="fr-FR"/>
        </w:rPr>
      </w:pPr>
      <w:r>
        <w:rPr>
          <w:b w:val="1"/>
          <w:sz w:val="26"/>
          <w:szCs w:val="26"/>
          <w:lang w:val="fr-FR"/>
        </w:rPr>
        <w:t>Điều 1:</w:t>
      </w:r>
      <w:r>
        <w:rPr>
          <w:sz w:val="26"/>
          <w:szCs w:val="26"/>
          <w:lang w:val="fr-FR"/>
        </w:rPr>
        <w:t xml:space="preserve"> Chuẩn y kết quả bầu cử Ban chấp hành và các chức danh trong Ban chấp hành Hội phụ nữ </w:t>
      </w:r>
      <w:r>
        <w:rPr>
          <w:color w:val="0000FF"/>
          <w:sz w:val="26"/>
          <w:szCs w:val="26"/>
          <w:lang w:val="fr-FR"/>
        </w:rPr>
        <w:t>Chi nhánh</w:t>
      </w:r>
      <w:r>
        <w:rPr>
          <w:sz w:val="26"/>
          <w:szCs w:val="26"/>
          <w:lang w:val="fr-FR"/>
        </w:rPr>
        <w:t xml:space="preserve"> </w:t>
      </w:r>
      <w:r>
        <w:rPr>
          <w:rFonts w:hint="default"/>
          <w:sz w:val="26"/>
          <w:szCs w:val="26"/>
          <w:rtl w:val="0"/>
          <w:lang w:val="en-GB" w:bidi="en-GB" w:eastAsia="en-GB"/>
        </w:rPr>
        <w:t>[[</w:t>
      </w:r>
      <w:r>
        <w:rPr>
          <w:rFonts w:hint="default"/>
          <w:sz w:val="26"/>
          <w:szCs w:val="26"/>
          <w:lang w:val="fr-FR"/>
        </w:rPr>
        <w:t>CHI_NHANH</w:t>
      </w:r>
      <w:r>
        <w:rPr>
          <w:rFonts w:hint="default"/>
          <w:sz w:val="26"/>
          <w:szCs w:val="26"/>
          <w:rtl w:val="0"/>
          <w:lang w:val="en-GB" w:bidi="en-GB" w:eastAsia="en-GB"/>
        </w:rPr>
        <w:t>]]</w:t>
      </w:r>
      <w:r>
        <w:rPr>
          <w:sz w:val="26"/>
          <w:szCs w:val="26"/>
          <w:lang w:val="fr-FR"/>
        </w:rPr>
        <w:t xml:space="preserve"> nhiệm kỳ 2025- 2030, gồm các đồng chí có tên sau:</w:t>
      </w:r>
    </w:p>
    <w:tbl>
      <w:tblPr>
        <w:tblW w:w="9061" w:type="dxa"/>
        <w:tblInd w:w="517" w:type="dxa"/>
        <w:tblLayout w:type="autofit"/>
        <w:tblCellMar>
          <w:top w:w="0" w:type="dxa"/>
          <w:left w:w="108" w:type="dxa"/>
          <w:bottom w:w="0" w:type="dxa"/>
          <w:right w:w="108" w:type="dxa"/>
        </w:tblCellMar>
      </w:tblPr>
      <w:tblGrid>
        <w:gridCol w:w="761"/>
        <w:gridCol w:w="3060"/>
        <w:gridCol w:w="2560"/>
        <w:gridCol w:w="2680"/>
      </w:tblGrid>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numPr>
                <w:ilvl w:val="0"/>
                <w:numId w:val="1"/>
              </w:numPr>
              <w:spacing w:lineRule="exact" w:line="360" w:beforeAutospacing="0" w:afterAutospacing="0"/>
              <w:jc w:val="center"/>
              <w:rPr>
                <w:sz w:val="24"/>
                <w:szCs w:val="24"/>
                <w:lang w:val="vi-VN" w:eastAsia="vi-VN"/>
              </w:rPr>
            </w:pPr>
          </w:p>
        </w:tc>
        <w:tc>
          <w:tcPr>
            <w:tcW w:w="3060" w:type="dxa"/>
            <w:shd w:val="clear" w:color="000000" w:fill="FFFFFF"/>
            <w:noWrap w:val="0"/>
            <w:vAlign w:val="center"/>
          </w:tcPr>
          <w:p>
            <w:pPr>
              <w:spacing w:lineRule="exact" w:line="360" w:beforeAutospacing="0" w:afterAutospacing="0"/>
              <w:rPr>
                <w:rFonts w:hint="default"/>
                <w:sz w:val="24"/>
                <w:szCs w:val="24"/>
                <w:lang w:val="en-GB"/>
              </w:rPr>
            </w:pPr>
            <w:r>
              <w:rPr>
                <w:rFonts w:hint="default"/>
                <w:sz w:val="24"/>
                <w:szCs w:val="24"/>
                <w:rtl w:val="0"/>
                <w:lang w:val="en-GB" w:bidi="en-GB" w:eastAsia="en-GB"/>
              </w:rPr>
              <w:t>[[F</w:t>
            </w:r>
            <w:r>
              <w:rPr>
                <w:rFonts w:hint="default"/>
                <w:sz w:val="24"/>
                <w:szCs w:val="24"/>
                <w:lang w:val="en-GB"/>
              </w:rPr>
              <w:t>10</w:t>
            </w:r>
            <w:r>
              <w:rPr>
                <w:rFonts w:hint="default"/>
                <w:sz w:val="24"/>
                <w:szCs w:val="24"/>
                <w:rtl w:val="0"/>
                <w:lang w:val="en-GB" w:bidi="en-GB" w:eastAsia="en-GB"/>
              </w:rPr>
              <w:t>]]</w:t>
            </w:r>
          </w:p>
        </w:tc>
        <w:tc>
          <w:tcPr>
            <w:tcW w:w="2560" w:type="dxa"/>
            <w:shd w:val="clear" w:color="auto" w:fill="auto"/>
            <w:noWrap w:val="0"/>
            <w:vAlign w:val="center"/>
          </w:tcPr>
          <w:p>
            <w:pPr>
              <w:spacing w:lineRule="exact" w:line="360" w:beforeAutospacing="0" w:afterAutospacing="0"/>
              <w:rPr>
                <w:rFonts w:hint="default"/>
                <w:sz w:val="24"/>
                <w:szCs w:val="24"/>
                <w:lang w:val="en-GB"/>
              </w:rPr>
            </w:pPr>
            <w:r>
              <w:rPr>
                <w:rFonts w:hint="default"/>
                <w:sz w:val="24"/>
                <w:szCs w:val="24"/>
                <w:rtl w:val="0"/>
                <w:lang w:val="en-GB" w:bidi="en-GB" w:eastAsia="en-GB"/>
              </w:rPr>
              <w:t>[[F</w:t>
            </w:r>
            <w:r>
              <w:rPr>
                <w:rFonts w:hint="default"/>
                <w:sz w:val="24"/>
                <w:szCs w:val="24"/>
                <w:lang w:val="en-GB"/>
              </w:rPr>
              <w:t>11</w:t>
            </w:r>
            <w:r>
              <w:rPr>
                <w:rFonts w:hint="default"/>
                <w:sz w:val="24"/>
                <w:szCs w:val="24"/>
                <w:rtl w:val="0"/>
                <w:lang w:val="en-GB" w:bidi="en-GB" w:eastAsia="en-GB"/>
              </w:rPr>
              <w:t>]]</w:t>
            </w:r>
          </w:p>
        </w:tc>
        <w:tc>
          <w:tcPr>
            <w:tcW w:w="2680" w:type="dxa"/>
            <w:shd w:val="clear" w:color="000000" w:fill="FFFFFF"/>
            <w:noWrap w:val="0"/>
            <w:vAlign w:val="center"/>
          </w:tcPr>
          <w:p>
            <w:pPr>
              <w:spacing w:lineRule="exact" w:line="360" w:beforeAutospacing="0" w:afterAutospacing="0"/>
              <w:rPr>
                <w:sz w:val="24"/>
                <w:szCs w:val="24"/>
              </w:rPr>
            </w:pPr>
            <w:r>
              <w:rPr>
                <w:sz w:val="24"/>
                <w:szCs w:val="24"/>
              </w:rPr>
              <w:t>Chủ tịch</w:t>
            </w:r>
          </w:p>
        </w:tc>
      </w:tr>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numPr>
                <w:ilvl w:val="0"/>
                <w:numId w:val="1"/>
              </w:numPr>
              <w:spacing w:lineRule="exact" w:line="360" w:beforeAutospacing="0" w:afterAutospacing="0"/>
              <w:rPr>
                <w:sz w:val="24"/>
                <w:szCs w:val="24"/>
              </w:rPr>
            </w:pPr>
          </w:p>
        </w:tc>
        <w:tc>
          <w:tcPr>
            <w:tcW w:w="3060" w:type="dxa"/>
            <w:shd w:val="clear" w:color="000000" w:fill="FFFFFF"/>
            <w:noWrap w:val="0"/>
            <w:vAlign w:val="center"/>
          </w:tcPr>
          <w:p>
            <w:pPr>
              <w:spacing w:lineRule="exact" w:line="360" w:beforeAutospacing="0" w:afterAutospacing="0"/>
              <w:rPr>
                <w:rFonts w:hint="default"/>
                <w:sz w:val="24"/>
                <w:szCs w:val="24"/>
                <w:lang w:val="en-GB"/>
              </w:rPr>
            </w:pPr>
            <w:r>
              <w:rPr>
                <w:rFonts w:hint="default"/>
                <w:sz w:val="24"/>
                <w:szCs w:val="24"/>
                <w:rtl w:val="0"/>
                <w:lang w:val="en-GB" w:bidi="en-GB" w:eastAsia="en-GB"/>
              </w:rPr>
              <w:t>[[F</w:t>
            </w:r>
            <w:r>
              <w:rPr>
                <w:rFonts w:hint="default"/>
                <w:sz w:val="24"/>
                <w:szCs w:val="24"/>
                <w:lang w:val="en-GB"/>
              </w:rPr>
              <w:t>20</w:t>
            </w:r>
            <w:r>
              <w:rPr>
                <w:rFonts w:hint="default"/>
                <w:sz w:val="24"/>
                <w:szCs w:val="24"/>
                <w:rtl w:val="0"/>
                <w:lang w:val="en-GB" w:bidi="en-GB" w:eastAsia="en-GB"/>
              </w:rPr>
              <w:t>]]</w:t>
            </w:r>
          </w:p>
        </w:tc>
        <w:tc>
          <w:tcPr>
            <w:tcW w:w="2560" w:type="dxa"/>
            <w:shd w:val="clear" w:color="auto" w:fill="auto"/>
            <w:noWrap w:val="0"/>
            <w:vAlign w:val="center"/>
          </w:tcPr>
          <w:p>
            <w:pPr>
              <w:spacing w:lineRule="exact" w:line="360" w:beforeAutospacing="0" w:afterAutospacing="0"/>
              <w:rPr>
                <w:rFonts w:hint="default"/>
                <w:sz w:val="24"/>
                <w:szCs w:val="24"/>
                <w:lang w:val="en-GB"/>
              </w:rPr>
            </w:pPr>
            <w:r>
              <w:rPr>
                <w:rFonts w:hint="default"/>
                <w:sz w:val="24"/>
                <w:szCs w:val="24"/>
                <w:rtl w:val="0"/>
                <w:lang w:val="en-GB" w:bidi="en-GB" w:eastAsia="en-GB"/>
              </w:rPr>
              <w:t>[[F</w:t>
            </w:r>
            <w:r>
              <w:rPr>
                <w:rFonts w:hint="default"/>
                <w:sz w:val="24"/>
                <w:szCs w:val="24"/>
                <w:lang w:val="en-GB"/>
              </w:rPr>
              <w:t>21</w:t>
            </w:r>
            <w:r>
              <w:rPr>
                <w:rFonts w:hint="default"/>
                <w:sz w:val="24"/>
                <w:szCs w:val="24"/>
                <w:rtl w:val="0"/>
                <w:lang w:val="en-GB" w:bidi="en-GB" w:eastAsia="en-GB"/>
              </w:rPr>
              <w:t>]]</w:t>
            </w:r>
          </w:p>
        </w:tc>
        <w:tc>
          <w:tcPr>
            <w:tcW w:w="2680" w:type="dxa"/>
            <w:shd w:val="clear" w:color="000000" w:fill="FFFFFF"/>
            <w:noWrap w:val="0"/>
            <w:vAlign w:val="center"/>
          </w:tcPr>
          <w:p>
            <w:pPr>
              <w:spacing w:lineRule="exact" w:line="360" w:beforeAutospacing="0" w:afterAutospacing="0"/>
              <w:rPr>
                <w:sz w:val="24"/>
                <w:szCs w:val="24"/>
              </w:rPr>
            </w:pPr>
            <w:r>
              <w:rPr>
                <w:sz w:val="24"/>
                <w:szCs w:val="24"/>
              </w:rPr>
              <w:t>Phó Chủ tịch</w:t>
            </w:r>
          </w:p>
        </w:tc>
      </w:tr>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numPr>
                <w:ilvl w:val="0"/>
                <w:numId w:val="1"/>
              </w:numPr>
              <w:spacing w:lineRule="exact" w:line="360" w:beforeAutospacing="0" w:afterAutospacing="0"/>
              <w:rPr>
                <w:sz w:val="24"/>
                <w:szCs w:val="24"/>
              </w:rPr>
            </w:pPr>
          </w:p>
        </w:tc>
        <w:tc>
          <w:tcPr>
            <w:tcW w:w="3060" w:type="dxa"/>
            <w:shd w:val="clear" w:color="000000" w:fill="FFFFFF"/>
            <w:noWrap w:val="0"/>
            <w:vAlign w:val="center"/>
          </w:tcPr>
          <w:p>
            <w:pPr>
              <w:spacing w:lineRule="exact" w:line="360" w:beforeAutospacing="0" w:afterAutospacing="0"/>
              <w:rPr>
                <w:rFonts w:hint="default"/>
                <w:sz w:val="24"/>
                <w:szCs w:val="24"/>
                <w:lang w:val="en-GB"/>
              </w:rPr>
            </w:pPr>
            <w:r>
              <w:rPr>
                <w:rFonts w:hint="default"/>
                <w:sz w:val="24"/>
                <w:szCs w:val="24"/>
                <w:rtl w:val="0"/>
                <w:lang w:val="en-GB" w:bidi="en-GB" w:eastAsia="en-GB"/>
              </w:rPr>
              <w:t>[[F</w:t>
            </w:r>
            <w:r>
              <w:rPr>
                <w:rFonts w:hint="default"/>
                <w:sz w:val="24"/>
                <w:szCs w:val="24"/>
                <w:lang w:val="en-GB"/>
              </w:rPr>
              <w:t>30</w:t>
            </w:r>
            <w:r>
              <w:rPr>
                <w:rFonts w:hint="default"/>
                <w:sz w:val="24"/>
                <w:szCs w:val="24"/>
                <w:rtl w:val="0"/>
                <w:lang w:val="en-GB" w:bidi="en-GB" w:eastAsia="en-GB"/>
              </w:rPr>
              <w:t>]]</w:t>
            </w:r>
          </w:p>
        </w:tc>
        <w:tc>
          <w:tcPr>
            <w:tcW w:w="2560" w:type="dxa"/>
            <w:shd w:val="clear" w:color="auto" w:fill="auto"/>
            <w:noWrap w:val="0"/>
            <w:vAlign w:val="center"/>
          </w:tcPr>
          <w:p>
            <w:pPr>
              <w:spacing w:lineRule="exact" w:line="360" w:beforeAutospacing="0" w:afterAutospacing="0"/>
              <w:rPr>
                <w:rFonts w:hint="default"/>
                <w:sz w:val="24"/>
                <w:szCs w:val="24"/>
                <w:lang w:val="en-GB"/>
              </w:rPr>
            </w:pPr>
            <w:r>
              <w:rPr>
                <w:rFonts w:hint="default"/>
                <w:sz w:val="24"/>
                <w:szCs w:val="24"/>
                <w:rtl w:val="0"/>
                <w:lang w:val="en-GB" w:bidi="en-GB" w:eastAsia="en-GB"/>
              </w:rPr>
              <w:t>[[F</w:t>
            </w:r>
            <w:r>
              <w:rPr>
                <w:rFonts w:hint="default"/>
                <w:sz w:val="24"/>
                <w:szCs w:val="24"/>
                <w:lang w:val="en-GB"/>
              </w:rPr>
              <w:t>31</w:t>
            </w:r>
            <w:r>
              <w:rPr>
                <w:rFonts w:hint="default"/>
                <w:sz w:val="24"/>
                <w:szCs w:val="24"/>
                <w:rtl w:val="0"/>
                <w:lang w:val="en-GB" w:bidi="en-GB" w:eastAsia="en-GB"/>
              </w:rPr>
              <w:t>]]</w:t>
            </w:r>
          </w:p>
        </w:tc>
        <w:tc>
          <w:tcPr>
            <w:tcW w:w="2680" w:type="dxa"/>
            <w:shd w:val="clear" w:color="000000" w:fill="FFFFFF"/>
            <w:noWrap w:val="0"/>
            <w:vAlign w:val="center"/>
          </w:tcPr>
          <w:p>
            <w:pPr>
              <w:spacing w:lineRule="exact" w:line="360" w:beforeAutospacing="0" w:afterAutospacing="0"/>
              <w:rPr>
                <w:sz w:val="24"/>
                <w:szCs w:val="24"/>
              </w:rPr>
            </w:pPr>
            <w:r>
              <w:rPr>
                <w:sz w:val="24"/>
                <w:szCs w:val="24"/>
              </w:rPr>
              <w:t>Ủy viên</w:t>
            </w:r>
          </w:p>
        </w:tc>
      </w:tr>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numPr>
                <w:ilvl w:val="0"/>
                <w:numId w:val="1"/>
              </w:numPr>
              <w:spacing w:lineRule="exact" w:line="360" w:beforeAutospacing="0" w:afterAutospacing="0"/>
              <w:rPr>
                <w:sz w:val="24"/>
                <w:szCs w:val="24"/>
              </w:rPr>
            </w:pPr>
          </w:p>
        </w:tc>
        <w:tc>
          <w:tcPr>
            <w:tcW w:w="3060" w:type="dxa"/>
            <w:shd w:val="clear" w:color="000000" w:fill="FFFFFF"/>
            <w:noWrap w:val="0"/>
            <w:vAlign w:val="center"/>
          </w:tcPr>
          <w:p>
            <w:pPr>
              <w:spacing w:lineRule="exact" w:line="360" w:beforeAutospacing="0" w:afterAutospacing="0"/>
              <w:rPr>
                <w:rFonts w:hint="default"/>
                <w:sz w:val="24"/>
                <w:szCs w:val="24"/>
                <w:lang w:val="en-GB"/>
              </w:rPr>
            </w:pPr>
            <w:r>
              <w:rPr>
                <w:rFonts w:hint="default"/>
                <w:sz w:val="24"/>
                <w:szCs w:val="24"/>
                <w:rtl w:val="0"/>
                <w:lang w:val="en-GB" w:bidi="en-GB" w:eastAsia="en-GB"/>
              </w:rPr>
              <w:t>[[F</w:t>
            </w:r>
            <w:r>
              <w:rPr>
                <w:rFonts w:hint="default"/>
                <w:sz w:val="24"/>
                <w:szCs w:val="24"/>
                <w:lang w:val="en-GB"/>
              </w:rPr>
              <w:t>40</w:t>
            </w:r>
            <w:r>
              <w:rPr>
                <w:rFonts w:hint="default"/>
                <w:sz w:val="24"/>
                <w:szCs w:val="24"/>
                <w:rtl w:val="0"/>
                <w:lang w:val="en-GB" w:bidi="en-GB" w:eastAsia="en-GB"/>
              </w:rPr>
              <w:t>]]</w:t>
            </w:r>
          </w:p>
        </w:tc>
        <w:tc>
          <w:tcPr>
            <w:tcW w:w="2560" w:type="dxa"/>
            <w:shd w:val="clear" w:color="auto" w:fill="auto"/>
            <w:noWrap w:val="0"/>
            <w:vAlign w:val="center"/>
          </w:tcPr>
          <w:p>
            <w:pPr>
              <w:spacing w:lineRule="exact" w:line="360" w:beforeAutospacing="0" w:afterAutospacing="0"/>
              <w:rPr>
                <w:rFonts w:hint="default"/>
                <w:sz w:val="24"/>
                <w:szCs w:val="24"/>
                <w:lang w:val="en-GB"/>
              </w:rPr>
            </w:pPr>
            <w:r>
              <w:rPr>
                <w:rFonts w:hint="default"/>
                <w:sz w:val="24"/>
                <w:szCs w:val="24"/>
                <w:rtl w:val="0"/>
                <w:lang w:val="en-GB" w:bidi="en-GB" w:eastAsia="en-GB"/>
              </w:rPr>
              <w:t>[[F</w:t>
            </w:r>
            <w:r>
              <w:rPr>
                <w:rFonts w:hint="default"/>
                <w:sz w:val="24"/>
                <w:szCs w:val="24"/>
                <w:lang w:val="en-GB"/>
              </w:rPr>
              <w:t>41</w:t>
            </w:r>
            <w:r>
              <w:rPr>
                <w:rFonts w:hint="default"/>
                <w:sz w:val="24"/>
                <w:szCs w:val="24"/>
                <w:rtl w:val="0"/>
                <w:lang w:val="en-GB" w:bidi="en-GB" w:eastAsia="en-GB"/>
              </w:rPr>
              <w:t>]]</w:t>
            </w:r>
          </w:p>
        </w:tc>
        <w:tc>
          <w:tcPr>
            <w:tcW w:w="2680" w:type="dxa"/>
            <w:shd w:val="clear" w:color="000000" w:fill="FFFFFF"/>
            <w:noWrap w:val="0"/>
            <w:vAlign w:val="center"/>
          </w:tcPr>
          <w:p>
            <w:pPr>
              <w:spacing w:lineRule="exact" w:line="360" w:beforeAutospacing="0" w:afterAutospacing="0"/>
              <w:rPr>
                <w:sz w:val="24"/>
                <w:szCs w:val="24"/>
              </w:rPr>
            </w:pPr>
            <w:r>
              <w:rPr>
                <w:sz w:val="24"/>
                <w:szCs w:val="24"/>
              </w:rPr>
              <w:t>Ủy viên</w:t>
            </w:r>
          </w:p>
        </w:tc>
      </w:tr>
      <w:tr>
        <w:tblPrEx>
          <w:tblCellMar>
            <w:top w:w="0" w:type="dxa"/>
            <w:left w:w="108" w:type="dxa"/>
            <w:bottom w:w="0" w:type="dxa"/>
            <w:right w:w="108" w:type="dxa"/>
          </w:tblCellMar>
        </w:tblPrEx>
        <w:trPr>
          <w:wBefore w:w="0" w:type="auto"/>
          <w:trHeight w:hRule="atLeast" w:val="312"/>
        </w:trPr>
        <w:tc>
          <w:tcPr>
            <w:tcW w:w="761" w:type="dxa"/>
            <w:shd w:val="clear" w:color="000000" w:fill="FFFFFF"/>
            <w:noWrap w:val="0"/>
            <w:vAlign w:val="center"/>
          </w:tcPr>
          <w:p>
            <w:pPr>
              <w:numPr>
                <w:ilvl w:val="0"/>
                <w:numId w:val="1"/>
              </w:numPr>
              <w:spacing w:lineRule="exact" w:line="360" w:beforeAutospacing="0" w:afterAutospacing="0"/>
              <w:rPr>
                <w:sz w:val="24"/>
                <w:szCs w:val="24"/>
              </w:rPr>
            </w:pPr>
          </w:p>
        </w:tc>
        <w:tc>
          <w:tcPr>
            <w:tcW w:w="3060" w:type="dxa"/>
            <w:shd w:val="clear" w:color="000000" w:fill="FFFFFF"/>
            <w:noWrap w:val="0"/>
            <w:vAlign w:val="center"/>
          </w:tcPr>
          <w:p>
            <w:pPr>
              <w:spacing w:lineRule="exact" w:line="360" w:beforeAutospacing="0" w:afterAutospacing="0"/>
              <w:rPr>
                <w:rFonts w:hint="default"/>
                <w:sz w:val="24"/>
                <w:szCs w:val="24"/>
                <w:lang w:val="en-GB"/>
              </w:rPr>
            </w:pPr>
            <w:r>
              <w:rPr>
                <w:rFonts w:hint="default"/>
                <w:sz w:val="24"/>
                <w:szCs w:val="24"/>
                <w:rtl w:val="0"/>
                <w:lang w:val="en-GB" w:bidi="en-GB" w:eastAsia="en-GB"/>
              </w:rPr>
              <w:t>[[F</w:t>
            </w:r>
            <w:r>
              <w:rPr>
                <w:rFonts w:hint="default"/>
                <w:sz w:val="24"/>
                <w:szCs w:val="24"/>
                <w:lang w:val="en-GB"/>
              </w:rPr>
              <w:t>50</w:t>
            </w:r>
            <w:r>
              <w:rPr>
                <w:rFonts w:hint="default"/>
                <w:sz w:val="24"/>
                <w:szCs w:val="24"/>
                <w:rtl w:val="0"/>
                <w:lang w:val="en-GB" w:bidi="en-GB" w:eastAsia="en-GB"/>
              </w:rPr>
              <w:t>]]</w:t>
            </w:r>
          </w:p>
        </w:tc>
        <w:tc>
          <w:tcPr>
            <w:tcW w:w="2560" w:type="dxa"/>
            <w:shd w:val="clear" w:color="auto" w:fill="auto"/>
            <w:noWrap w:val="0"/>
            <w:vAlign w:val="center"/>
          </w:tcPr>
          <w:p>
            <w:pPr>
              <w:spacing w:lineRule="exact" w:line="360" w:beforeAutospacing="0" w:afterAutospacing="0"/>
              <w:rPr>
                <w:rFonts w:hint="default"/>
                <w:sz w:val="24"/>
                <w:szCs w:val="24"/>
                <w:lang w:val="en-GB"/>
              </w:rPr>
            </w:pPr>
            <w:r>
              <w:rPr>
                <w:rFonts w:hint="default"/>
                <w:sz w:val="24"/>
                <w:szCs w:val="24"/>
                <w:rtl w:val="0"/>
                <w:lang w:val="en-GB" w:bidi="en-GB" w:eastAsia="en-GB"/>
              </w:rPr>
              <w:t>[[F</w:t>
            </w:r>
            <w:r>
              <w:rPr>
                <w:rFonts w:hint="default"/>
                <w:sz w:val="24"/>
                <w:szCs w:val="24"/>
                <w:lang w:val="en-GB"/>
              </w:rPr>
              <w:t>51</w:t>
            </w:r>
            <w:r>
              <w:rPr>
                <w:rFonts w:hint="default"/>
                <w:sz w:val="24"/>
                <w:szCs w:val="24"/>
                <w:rtl w:val="0"/>
                <w:lang w:val="en-GB" w:bidi="en-GB" w:eastAsia="en-GB"/>
              </w:rPr>
              <w:t>]]</w:t>
            </w:r>
          </w:p>
        </w:tc>
        <w:tc>
          <w:tcPr>
            <w:tcW w:w="2680" w:type="dxa"/>
            <w:shd w:val="clear" w:color="000000" w:fill="FFFFFF"/>
            <w:noWrap w:val="0"/>
            <w:vAlign w:val="center"/>
          </w:tcPr>
          <w:p>
            <w:pPr>
              <w:spacing w:lineRule="exact" w:line="360" w:beforeAutospacing="0" w:afterAutospacing="0"/>
              <w:rPr>
                <w:sz w:val="24"/>
                <w:szCs w:val="24"/>
              </w:rPr>
            </w:pPr>
            <w:r>
              <w:rPr>
                <w:sz w:val="24"/>
                <w:szCs w:val="24"/>
              </w:rPr>
              <w:t>Ủy viên</w:t>
            </w:r>
          </w:p>
        </w:tc>
      </w:tr>
    </w:tbl>
    <w:p>
      <w:pPr>
        <w:spacing w:lineRule="exact" w:line="360" w:beforeAutospacing="0" w:afterAutospacing="0"/>
        <w:ind w:firstLine="567"/>
        <w:jc w:val="both"/>
        <w:rPr>
          <w:sz w:val="26"/>
          <w:szCs w:val="26"/>
          <w:lang w:val="fr-FR"/>
        </w:rPr>
      </w:pPr>
      <w:r>
        <w:rPr>
          <w:b w:val="1"/>
          <w:sz w:val="26"/>
          <w:szCs w:val="26"/>
          <w:lang w:val="fr-FR"/>
        </w:rPr>
        <w:t>Điều 2:</w:t>
      </w:r>
      <w:r>
        <w:rPr>
          <w:sz w:val="26"/>
          <w:szCs w:val="26"/>
          <w:lang w:val="fr-FR"/>
        </w:rPr>
        <w:t xml:space="preserve"> Ban chấp hành Hội phụ nữ Chi nhánh </w:t>
      </w:r>
      <w:r>
        <w:rPr>
          <w:rFonts w:hint="default"/>
          <w:sz w:val="26"/>
          <w:szCs w:val="26"/>
          <w:rtl w:val="0"/>
          <w:lang w:val="en-GB" w:bidi="en-GB" w:eastAsia="en-GB"/>
        </w:rPr>
        <w:t>[[</w:t>
      </w:r>
      <w:r>
        <w:rPr>
          <w:rFonts w:hint="default"/>
          <w:sz w:val="26"/>
          <w:szCs w:val="26"/>
          <w:lang w:val="fr-FR"/>
        </w:rPr>
        <w:t>CHI_NHANH</w:t>
      </w:r>
      <w:r>
        <w:rPr>
          <w:rFonts w:hint="default"/>
          <w:sz w:val="26"/>
          <w:szCs w:val="26"/>
          <w:rtl w:val="0"/>
          <w:lang w:val="en-GB" w:bidi="en-GB" w:eastAsia="en-GB"/>
        </w:rPr>
        <w:t>]]</w:t>
      </w:r>
      <w:r>
        <w:rPr>
          <w:sz w:val="26"/>
          <w:szCs w:val="26"/>
          <w:lang w:val="fr-FR"/>
        </w:rPr>
        <w:t xml:space="preserve"> nhiệm kỳ 2025- 2030 có trách nhiệm lãnh đạo, điều hành hoạt động của Hội theo đúng Điều lệ, các chương trình và hướng dẫn của cấp trên để triển khai thực hiện thắng lợi Nghị quyết Đại hội nhiệm kỳ 2025- 2030.</w:t>
      </w:r>
    </w:p>
    <w:p>
      <w:pPr>
        <w:spacing w:lineRule="exact" w:line="360" w:after="120" w:beforeAutospacing="0" w:afterAutospacing="0"/>
        <w:ind w:firstLine="607"/>
        <w:jc w:val="both"/>
        <w:rPr>
          <w:b w:val="1"/>
          <w:bCs w:val="1"/>
          <w:sz w:val="28"/>
          <w:szCs w:val="28"/>
          <w:lang w:val="fr-FR"/>
        </w:rPr>
      </w:pPr>
      <w:r>
        <w:rPr>
          <w:b w:val="1"/>
          <w:bCs w:val="1"/>
          <w:sz w:val="26"/>
          <w:szCs w:val="26"/>
          <w:lang w:val="fr-FR"/>
        </w:rPr>
        <w:t xml:space="preserve">Điều 3: Hội phụ nữ </w:t>
      </w:r>
      <w:r>
        <w:rPr>
          <w:b w:val="1"/>
          <w:bCs w:val="1"/>
          <w:color w:val="0000FF"/>
          <w:sz w:val="26"/>
          <w:szCs w:val="26"/>
          <w:lang w:val="fr-FR"/>
        </w:rPr>
        <w:t>Chi nhánh</w:t>
      </w:r>
      <w:r>
        <w:rPr>
          <w:b w:val="1"/>
          <w:bCs w:val="1"/>
          <w:sz w:val="26"/>
          <w:szCs w:val="26"/>
          <w:lang w:val="fr-FR"/>
        </w:rPr>
        <w:t xml:space="preserve"> </w:t>
      </w:r>
      <w:r>
        <w:rPr>
          <w:rFonts w:hint="default"/>
          <w:b w:val="1"/>
          <w:bCs w:val="1"/>
          <w:sz w:val="26"/>
          <w:szCs w:val="26"/>
          <w:rtl w:val="0"/>
          <w:lang w:val="en-GB" w:bidi="en-GB" w:eastAsia="en-GB"/>
        </w:rPr>
        <w:t>[[</w:t>
      </w:r>
      <w:r>
        <w:rPr>
          <w:rFonts w:hint="default"/>
          <w:b w:val="1"/>
          <w:bCs w:val="1"/>
          <w:sz w:val="26"/>
          <w:szCs w:val="26"/>
          <w:lang w:val="fr-FR"/>
        </w:rPr>
        <w:t>CHI_NHANH</w:t>
      </w:r>
      <w:r>
        <w:rPr>
          <w:rFonts w:hint="default"/>
          <w:b w:val="1"/>
          <w:bCs w:val="1"/>
          <w:sz w:val="26"/>
          <w:szCs w:val="26"/>
          <w:rtl w:val="0"/>
          <w:lang w:val="en-GB" w:bidi="en-GB" w:eastAsia="en-GB"/>
        </w:rPr>
        <w:t>]]</w:t>
      </w:r>
      <w:r>
        <w:rPr>
          <w:b w:val="1"/>
          <w:bCs w:val="1"/>
          <w:sz w:val="26"/>
          <w:szCs w:val="26"/>
          <w:lang w:val="fr-FR"/>
        </w:rPr>
        <w:t xml:space="preserve"> và các đồng chí có tên tại Điều 1 chịu trách nhiệm thi hành Quyết định này. </w:t>
      </w:r>
    </w:p>
    <w:tbl>
      <w:tblPr>
        <w:tblW w:w="9018" w:type="dxa"/>
        <w:tblInd w:w="0" w:type="dxa"/>
        <w:tblLayout w:type="autofit"/>
        <w:tblCellMar>
          <w:top w:w="0" w:type="dxa"/>
          <w:left w:w="108" w:type="dxa"/>
          <w:bottom w:w="0" w:type="dxa"/>
          <w:right w:w="108" w:type="dxa"/>
        </w:tblCellMar>
      </w:tblPr>
      <w:tblGrid>
        <w:gridCol w:w="5148"/>
        <w:gridCol w:w="3870"/>
      </w:tblGrid>
      <w:tr>
        <w:tblPrEx>
          <w:tblCellMar>
            <w:top w:w="0" w:type="dxa"/>
            <w:left w:w="108" w:type="dxa"/>
            <w:bottom w:w="0" w:type="dxa"/>
            <w:right w:w="108" w:type="dxa"/>
          </w:tblCellMar>
        </w:tblPrEx>
        <w:trPr>
          <w:wBefore w:w="0" w:type="dxa"/>
          <w:wAfter w:w="0" w:type="dxa"/>
        </w:trPr>
        <w:tc>
          <w:tcPr>
            <w:tcW w:w="5148" w:type="dxa"/>
            <w:noWrap w:val="0"/>
            <w:vAlign w:val="top"/>
          </w:tcPr>
          <w:p>
            <w:pPr>
              <w:rPr>
                <w:iCs w:val="1"/>
                <w:sz w:val="28"/>
                <w:szCs w:val="28"/>
                <w:u w:val="single"/>
                <w:lang w:val="fr-FR"/>
              </w:rPr>
            </w:pPr>
            <w:r>
              <w:rPr>
                <w:iCs w:val="1"/>
                <w:sz w:val="28"/>
                <w:szCs w:val="28"/>
                <w:u w:val="single"/>
                <w:lang w:val="fr-FR"/>
              </w:rPr>
              <w:t>Nơi nhận:</w:t>
            </w:r>
          </w:p>
          <w:p>
            <w:pPr>
              <w:rPr>
                <w:lang w:val="es-ES"/>
              </w:rPr>
            </w:pPr>
            <w:r>
              <w:rPr>
                <w:sz w:val="28"/>
                <w:szCs w:val="28"/>
                <w:lang w:val="es-ES"/>
              </w:rPr>
              <w:t xml:space="preserve">- </w:t>
            </w:r>
            <w:r>
              <w:rPr>
                <w:lang w:val="es-ES"/>
              </w:rPr>
              <w:t>Lãnh đạo CN,</w:t>
            </w:r>
          </w:p>
          <w:p>
            <w:pPr>
              <w:rPr>
                <w:lang w:val="es-ES"/>
              </w:rPr>
            </w:pPr>
            <w:r>
              <w:rPr>
                <w:lang w:val="es-ES"/>
              </w:rPr>
              <w:t>- Như Điều 3,</w:t>
            </w:r>
          </w:p>
          <w:p>
            <w:pPr>
              <w:rPr>
                <w:sz w:val="28"/>
                <w:szCs w:val="28"/>
                <w:lang w:val="es-ES"/>
              </w:rPr>
            </w:pPr>
            <w:r>
              <w:rPr>
                <w:lang w:val="es-ES"/>
              </w:rPr>
              <w:t>- Lưu ĐU.</w:t>
            </w:r>
          </w:p>
        </w:tc>
        <w:tc>
          <w:tcPr>
            <w:tcW w:w="3870" w:type="dxa"/>
            <w:noWrap w:val="0"/>
            <w:vAlign w:val="top"/>
          </w:tcPr>
          <w:p>
            <w:pPr>
              <w:ind w:hanging="360" w:left="360"/>
              <w:jc w:val="center"/>
              <w:rPr>
                <w:b w:val="1"/>
                <w:bCs w:val="1"/>
                <w:sz w:val="28"/>
                <w:szCs w:val="28"/>
                <w:lang w:val="es-ES"/>
              </w:rPr>
            </w:pPr>
            <w:r>
              <w:rPr>
                <w:b w:val="1"/>
                <w:bCs w:val="1"/>
                <w:sz w:val="28"/>
                <w:szCs w:val="28"/>
                <w:lang w:val="es-ES"/>
              </w:rPr>
              <w:t xml:space="preserve">T/M </w:t>
            </w:r>
            <w:r>
              <w:rPr>
                <w:b w:val="1"/>
                <w:bCs w:val="1"/>
                <w:color w:val="0000FF"/>
                <w:sz w:val="28"/>
                <w:szCs w:val="28"/>
                <w:lang w:val="es-ES"/>
              </w:rPr>
              <w:t>BAN THƯỜNG VỤ</w:t>
            </w:r>
          </w:p>
        </w:tc>
      </w:tr>
      <w:tr>
        <w:tblPrEx>
          <w:tblCellMar>
            <w:top w:w="0" w:type="dxa"/>
            <w:left w:w="108" w:type="dxa"/>
            <w:bottom w:w="0" w:type="dxa"/>
            <w:right w:w="108" w:type="dxa"/>
          </w:tblCellMar>
        </w:tblPrEx>
        <w:trPr>
          <w:wBefore w:w="0" w:type="dxa"/>
          <w:wAfter w:w="0" w:type="dxa"/>
        </w:trPr>
        <w:tc>
          <w:tcPr>
            <w:tcW w:w="5148" w:type="dxa"/>
            <w:noWrap w:val="0"/>
            <w:vAlign w:val="top"/>
          </w:tcPr>
          <w:p>
            <w:pPr>
              <w:rPr>
                <w:b w:val="0"/>
                <w:bCs w:val="0"/>
                <w:sz w:val="28"/>
                <w:szCs w:val="28"/>
                <w:lang w:val="es-ES"/>
              </w:rPr>
            </w:pPr>
          </w:p>
          <w:p>
            <w:pPr>
              <w:rPr>
                <w:b w:val="1"/>
                <w:bCs w:val="1"/>
                <w:sz w:val="28"/>
                <w:szCs w:val="28"/>
                <w:lang w:val="es-ES"/>
              </w:rPr>
            </w:pPr>
          </w:p>
        </w:tc>
        <w:tc>
          <w:tcPr>
            <w:tcW w:w="3870" w:type="dxa"/>
            <w:noWrap w:val="0"/>
            <w:vAlign w:val="top"/>
          </w:tcPr>
          <w:p>
            <w:pPr>
              <w:ind w:firstLine="0" w:left="0"/>
              <w:jc w:val="center"/>
              <w:rPr>
                <w:b w:val="1"/>
                <w:bCs w:val="1"/>
                <w:sz w:val="28"/>
                <w:szCs w:val="28"/>
              </w:rPr>
            </w:pPr>
            <w:r>
              <w:rPr>
                <w:b w:val="1"/>
                <w:bCs w:val="1"/>
                <w:sz w:val="28"/>
                <w:szCs w:val="28"/>
              </w:rPr>
              <w:t xml:space="preserve">Tạ Quốc Đan </w:t>
            </w:r>
          </w:p>
          <w:p>
            <w:pPr>
              <w:ind w:firstLine="0" w:left="0"/>
              <w:jc w:val="center"/>
              <w:rPr>
                <w:b w:val="1"/>
                <w:bCs w:val="1"/>
                <w:sz w:val="28"/>
                <w:szCs w:val="28"/>
              </w:rPr>
            </w:pPr>
          </w:p>
        </w:tc>
      </w:tr>
    </w:tbl>
    <w:p>
      <w:pPr>
        <w:tabs>
          <w:tab w:val="left" w:pos="5265" w:leader="none"/>
        </w:tabs>
        <w:spacing w:lineRule="auto" w:line="276" w:beforeAutospacing="0" w:afterAutospacing="0"/>
        <w:rPr>
          <w:sz w:val="28"/>
          <w:szCs w:val="28"/>
        </w:rPr>
      </w:pPr>
    </w:p>
    <w:sectPr>
      <w:type w:val="nextPage"/>
      <w:pgSz w:w="11909" w:h="16834" w:code="0"/>
      <w:pgMar w:left="1701" w:right="851" w:top="1134" w:bottom="1134" w:header="720" w:footer="720" w:gutter="0"/>
      <w:cols w:equalWidth="1" w:space="720"/>
    </w:sectPr>
  </w:body>
</w:document>
</file>

<file path=word/numbering.xml><?xml version="1.0" encoding="utf-8"?>
<w:numbering xmlns:w="http://schemas.openxmlformats.org/wordprocessingml/2006/main">
  <w:abstractNum w:abstractNumId="0">
    <w:nsid w:val="797A0853"/>
    <w:multiLevelType w:val="multilevel"/>
    <w:lvl w:ilvl="0">
      <w:start w:val="1"/>
      <w:numFmt w:val="decimal"/>
      <w:suff w:val="tab"/>
      <w:lvlText w:val="%1."/>
      <w:lvlJc w:val="left"/>
      <w:pPr>
        <w:ind w:hanging="360" w:left="630"/>
      </w:pPr>
      <w:rPr>
        <w:rFonts w:hint="default"/>
      </w:rPr>
    </w:lvl>
    <w:lvl w:ilvl="1">
      <w:start w:val="1"/>
      <w:numFmt w:val="lowerLetter"/>
      <w:suff w:val="tab"/>
      <w:lvlText w:val="%2."/>
      <w:lvlJc w:val="left"/>
      <w:pPr>
        <w:ind w:hanging="360" w:left="1350"/>
      </w:pPr>
      <w:rPr/>
    </w:lvl>
    <w:lvl w:ilvl="2">
      <w:start w:val="1"/>
      <w:numFmt w:val="lowerRoman"/>
      <w:suff w:val="tab"/>
      <w:lvlText w:val="%3."/>
      <w:lvlJc w:val="right"/>
      <w:pPr>
        <w:ind w:hanging="180" w:left="2070"/>
      </w:pPr>
      <w:rPr/>
    </w:lvl>
    <w:lvl w:ilvl="3">
      <w:start w:val="1"/>
      <w:numFmt w:val="decimal"/>
      <w:suff w:val="tab"/>
      <w:lvlText w:val="%4."/>
      <w:lvlJc w:val="left"/>
      <w:pPr>
        <w:ind w:hanging="360" w:left="2790"/>
      </w:pPr>
      <w:rPr/>
    </w:lvl>
    <w:lvl w:ilvl="4">
      <w:start w:val="1"/>
      <w:numFmt w:val="lowerLetter"/>
      <w:suff w:val="tab"/>
      <w:lvlText w:val="%5."/>
      <w:lvlJc w:val="left"/>
      <w:pPr>
        <w:ind w:hanging="360" w:left="3510"/>
      </w:pPr>
      <w:rPr/>
    </w:lvl>
    <w:lvl w:ilvl="5">
      <w:start w:val="1"/>
      <w:numFmt w:val="lowerRoman"/>
      <w:suff w:val="tab"/>
      <w:lvlText w:val="%6."/>
      <w:lvlJc w:val="right"/>
      <w:pPr>
        <w:ind w:hanging="180" w:left="4230"/>
      </w:pPr>
      <w:rPr/>
    </w:lvl>
    <w:lvl w:ilvl="6">
      <w:start w:val="1"/>
      <w:numFmt w:val="decimal"/>
      <w:suff w:val="tab"/>
      <w:lvlText w:val="%7."/>
      <w:lvlJc w:val="left"/>
      <w:pPr>
        <w:ind w:hanging="360" w:left="4950"/>
      </w:pPr>
      <w:rPr/>
    </w:lvl>
    <w:lvl w:ilvl="7">
      <w:start w:val="1"/>
      <w:numFmt w:val="lowerLetter"/>
      <w:suff w:val="tab"/>
      <w:lvlText w:val="%8."/>
      <w:lvlJc w:val="left"/>
      <w:pPr>
        <w:ind w:hanging="360" w:left="5670"/>
      </w:pPr>
      <w:rPr/>
    </w:lvl>
    <w:lvl w:ilvl="8">
      <w:start w:val="1"/>
      <w:numFmt w:val="lowerRoman"/>
      <w:suff w:val="tab"/>
      <w:lvlText w:val="%9."/>
      <w:lvlJc w:val="right"/>
      <w:pPr>
        <w:ind w:hanging="180" w:left="6390"/>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bordersDoNotSurroundHeader/>
  <w:bordersDoNotSurroundFooter/>
  <w:defaultTabStop w:val="720"/>
  <w:autoHyphenation w:val="0"/>
  <w:evenAndOddHeaders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z w:val="24"/>
      <w:szCs w:val="24"/>
      <w:lang w:val="en-US" w:bidi="ar-SA" w:eastAsia="en-US"/>
    </w:rPr>
  </w:style>
  <w:style w:type="paragraph" w:styleId="P1">
    <w:name w:val="List Paragraph"/>
    <w:basedOn w:val="P0"/>
    <w:qFormat/>
    <w:pPr>
      <w:ind w:left="720"/>
    </w:pPr>
    <w:rPr>
      <w:rFonts w:ascii="Calibri" w:hAnsi="Calibri" w:eastAsia="Calibri"/>
      <w:sz w:val="22"/>
      <w:szCs w:val="22"/>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table" w:styleId="T0" w:default="1">
    <w:name w:val="Normal Table"/>
    <w:qFormat/>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Ngo Thi Van Dung</dc:creator>
  <dcterms:created xsi:type="dcterms:W3CDTF">2023-11-27T11:40:00Z</dcterms:created>
  <cp:lastPrinted>2021-03-10T10:51:00Z</cp:lastPrinted>
  <dcterms:modified xsi:type="dcterms:W3CDTF">2026-01-10T16:42:46Z</dcterms:modified>
  <cp:revision>38</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itusGUID">
    <vt:lpwstr>2a9fb5fd-348c-419b-9c52-23fe65f49b3e</vt:lpwstr>
  </property>
  <property fmtid="{D5CDD505-2E9C-101B-9397-08002B2CF9AE}" pid="3" name="DonViCap1">
    <vt:lpwstr>MBDLP_DonViCap1_01</vt:lpwstr>
  </property>
  <property fmtid="{D5CDD505-2E9C-101B-9397-08002B2CF9AE}" pid="4" name="DonViCap2">
    <vt:lpwstr>MBDLP_DonViCap2_01023</vt:lpwstr>
  </property>
  <property fmtid="{D5CDD505-2E9C-101B-9397-08002B2CF9AE}" pid="5" name="CoDTTCKhacMB">
    <vt:lpwstr>MBDLP_CoDTTCKhacMB_01</vt:lpwstr>
  </property>
  <property fmtid="{D5CDD505-2E9C-101B-9397-08002B2CF9AE}" pid="6" name="MucDoBaoMat">
    <vt:lpwstr>MBDLP_MucDoBaoMat_01</vt:lpwstr>
  </property>
  <property fmtid="{D5CDD505-2E9C-101B-9397-08002B2CF9AE}" pid="7" name="KSOProductBuildVer">
    <vt:lpwstr>2057-12.2.0.23196</vt:lpwstr>
  </property>
  <property fmtid="{D5CDD505-2E9C-101B-9397-08002B2CF9AE}" pid="8" name="ICV">
    <vt:lpwstr>C2927C96872B4F99AA4F58A64686FCFD_13</vt:lpwstr>
  </property>
</Properties>
</file>