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30B5" w14:textId="4C544409" w:rsidR="00737C2C" w:rsidRDefault="00737C2C" w:rsidP="00737C2C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BE378A2" wp14:editId="6730CED2">
            <wp:simplePos x="0" y="0"/>
            <wp:positionH relativeFrom="margin">
              <wp:align>center</wp:align>
            </wp:positionH>
            <wp:positionV relativeFrom="page">
              <wp:posOffset>1445762</wp:posOffset>
            </wp:positionV>
            <wp:extent cx="4826635" cy="2094230"/>
            <wp:effectExtent l="0" t="0" r="0" b="0"/>
            <wp:wrapTight wrapText="bothSides">
              <wp:wrapPolygon edited="0">
                <wp:start x="4433" y="5502"/>
                <wp:lineTo x="3410" y="6091"/>
                <wp:lineTo x="1620" y="8056"/>
                <wp:lineTo x="1620" y="9038"/>
                <wp:lineTo x="682" y="12182"/>
                <wp:lineTo x="1364" y="15326"/>
                <wp:lineTo x="2387" y="18862"/>
                <wp:lineTo x="4092" y="20631"/>
                <wp:lineTo x="17477" y="20631"/>
                <wp:lineTo x="17732" y="20238"/>
                <wp:lineTo x="19182" y="18666"/>
                <wp:lineTo x="20972" y="12182"/>
                <wp:lineTo x="19864" y="9038"/>
                <wp:lineTo x="19949" y="8252"/>
                <wp:lineTo x="18073" y="6091"/>
                <wp:lineTo x="17136" y="5502"/>
                <wp:lineTo x="4433" y="550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noProof/>
          <w:sz w:val="72"/>
          <w:szCs w:val="72"/>
        </w:rPr>
        <w:t xml:space="preserve">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</w:t>
      </w:r>
      <w:r>
        <w:rPr>
          <w:rFonts w:ascii="Copperplate Gothic Bold" w:hAnsi="Copperplate Gothic Bold"/>
          <w:b/>
          <w:bCs/>
          <w:sz w:val="72"/>
          <w:szCs w:val="72"/>
        </w:rPr>
        <w:t>Ray-ban_3025</w:t>
      </w:r>
    </w:p>
    <w:p w14:paraId="464C604D" w14:textId="3B7A3B71" w:rsidR="00737C2C" w:rsidRPr="00012326" w:rsidRDefault="00737C2C" w:rsidP="00737C2C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7B174DEC" w14:textId="77777777" w:rsidR="00737C2C" w:rsidRDefault="00737C2C" w:rsidP="00737C2C">
      <w:pPr>
        <w:rPr>
          <w:rFonts w:ascii="Copperplate Gothic Bold" w:hAnsi="Copperplate Gothic Bold"/>
          <w:sz w:val="56"/>
          <w:szCs w:val="56"/>
        </w:rPr>
      </w:pPr>
    </w:p>
    <w:p w14:paraId="481562C6" w14:textId="0E123A5F" w:rsidR="00737C2C" w:rsidRDefault="00737C2C" w:rsidP="00737C2C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 </w:t>
      </w:r>
      <w:r>
        <w:rPr>
          <w:rFonts w:ascii="Copperplate Gothic Bold" w:hAnsi="Copperplate Gothic Bold"/>
          <w:sz w:val="56"/>
          <w:szCs w:val="56"/>
        </w:rPr>
        <w:t xml:space="preserve">    </w:t>
      </w:r>
    </w:p>
    <w:p w14:paraId="6C55F8B2" w14:textId="3932A89F" w:rsidR="00737C2C" w:rsidRDefault="00737C2C" w:rsidP="00737C2C">
      <w:pPr>
        <w:rPr>
          <w:rFonts w:ascii="Copperplate Gothic Bold" w:hAnsi="Copperplate Gothic Bold"/>
          <w:sz w:val="56"/>
          <w:szCs w:val="56"/>
        </w:rPr>
      </w:pPr>
    </w:p>
    <w:p w14:paraId="677B9B39" w14:textId="286630B3" w:rsidR="00737C2C" w:rsidRPr="00737C2C" w:rsidRDefault="00737C2C" w:rsidP="00737C2C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 </w:t>
      </w:r>
      <w:r w:rsidRPr="00AA3CAA">
        <w:rPr>
          <w:rFonts w:ascii="Copperplate Gothic Bold" w:hAnsi="Copperplate Gothic Bold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C2C" w:rsidRPr="00FD5799" w14:paraId="49B35837" w14:textId="77777777" w:rsidTr="00C442F6">
        <w:tc>
          <w:tcPr>
            <w:tcW w:w="4675" w:type="dxa"/>
          </w:tcPr>
          <w:p w14:paraId="777B327F" w14:textId="77777777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4C4D39E8" w14:textId="77777777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</w:p>
        </w:tc>
      </w:tr>
      <w:tr w:rsidR="00737C2C" w:rsidRPr="00FD5799" w14:paraId="367060FF" w14:textId="77777777" w:rsidTr="00C442F6">
        <w:tc>
          <w:tcPr>
            <w:tcW w:w="4675" w:type="dxa"/>
          </w:tcPr>
          <w:p w14:paraId="004C1525" w14:textId="77777777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01D3D3C8" w14:textId="77777777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737C2C" w:rsidRPr="00FD5799" w14:paraId="4A10724C" w14:textId="77777777" w:rsidTr="00C442F6">
        <w:tc>
          <w:tcPr>
            <w:tcW w:w="4675" w:type="dxa"/>
          </w:tcPr>
          <w:p w14:paraId="1045E77A" w14:textId="77777777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64CDE67F" w14:textId="77777777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737C2C" w:rsidRPr="00FD5799" w14:paraId="094671C6" w14:textId="77777777" w:rsidTr="00C442F6">
        <w:tc>
          <w:tcPr>
            <w:tcW w:w="4675" w:type="dxa"/>
          </w:tcPr>
          <w:p w14:paraId="73FDB77B" w14:textId="77777777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6774DCC5" w14:textId="2E692FE9" w:rsidR="00737C2C" w:rsidRPr="00FD5799" w:rsidRDefault="00737C2C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Metal</w:t>
            </w:r>
          </w:p>
        </w:tc>
      </w:tr>
    </w:tbl>
    <w:p w14:paraId="6E87643C" w14:textId="77777777" w:rsidR="00737C2C" w:rsidRPr="00FD5799" w:rsidRDefault="00737C2C" w:rsidP="00737C2C">
      <w:pPr>
        <w:rPr>
          <w:rFonts w:ascii="Copperplate Gothic Bold" w:hAnsi="Copperplate Gothic Bold"/>
          <w:color w:val="000000" w:themeColor="text1"/>
        </w:rPr>
      </w:pPr>
    </w:p>
    <w:p w14:paraId="5B1D518C" w14:textId="77777777" w:rsidR="00737C2C" w:rsidRPr="00AA3CAA" w:rsidRDefault="00737C2C" w:rsidP="00737C2C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AA3CAA">
        <w:rPr>
          <w:rFonts w:ascii="Copperplate Gothic Bold" w:hAnsi="Copperplate Gothic Bold"/>
          <w:sz w:val="72"/>
          <w:szCs w:val="72"/>
        </w:rPr>
        <w:t>Description</w:t>
      </w:r>
    </w:p>
    <w:p w14:paraId="0ECE5C87" w14:textId="19847778" w:rsidR="00737C2C" w:rsidRPr="005C0333" w:rsidRDefault="00C25487" w:rsidP="00737C2C">
      <w:pPr>
        <w:rPr>
          <w:rFonts w:ascii="Copperplate Gothic Bold" w:hAnsi="Copperplate Gothic Bold"/>
          <w:sz w:val="72"/>
          <w:szCs w:val="72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Find iconic, cool sunglasses in the Ray-Ban 0RB3025. The aviator has been popular for decades for its fusion of good looks and outstanding performance. The teardrop lenses provide a fantastic field of coverage against the sun’s harmful UV rays, and the double bridge adds stability without a lot of weight. The metal frames are strong and lightweight, and the barrel hinges are sturdy.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737C2C" w14:paraId="74EC4DAC" w14:textId="77777777" w:rsidTr="00C442F6">
        <w:trPr>
          <w:trHeight w:val="2445"/>
        </w:trPr>
        <w:tc>
          <w:tcPr>
            <w:tcW w:w="9459" w:type="dxa"/>
          </w:tcPr>
          <w:p w14:paraId="1DC05367" w14:textId="77777777" w:rsidR="00737C2C" w:rsidRPr="00AA3CAA" w:rsidRDefault="00737C2C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  <w:r w:rsidRPr="00AA3CAA">
              <w:rPr>
                <w:rFonts w:ascii="Copperplate Gothic Bold" w:hAnsi="Copperplate Gothic Bold"/>
                <w:sz w:val="36"/>
                <w:szCs w:val="36"/>
              </w:rPr>
              <w:t>What You’ll Get</w:t>
            </w:r>
          </w:p>
          <w:p w14:paraId="764C5E45" w14:textId="77777777" w:rsidR="00737C2C" w:rsidRDefault="00737C2C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6AC984AF" w14:textId="77777777" w:rsidR="00737C2C" w:rsidRPr="005C0333" w:rsidRDefault="00737C2C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Thin and light tinted prescription lenses.</w:t>
            </w:r>
          </w:p>
          <w:p w14:paraId="4FF42516" w14:textId="77777777" w:rsidR="00737C2C" w:rsidRPr="005C0333" w:rsidRDefault="00737C2C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Soft case and cleaning cloth.</w:t>
            </w:r>
          </w:p>
          <w:p w14:paraId="643F8C0A" w14:textId="77777777" w:rsidR="00737C2C" w:rsidRPr="006D2365" w:rsidRDefault="00737C2C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C0333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286CAADC" w14:textId="77777777" w:rsidR="00737C2C" w:rsidRDefault="00737C2C" w:rsidP="00737C2C"/>
    <w:p w14:paraId="7CC645B2" w14:textId="77777777" w:rsidR="00E2348B" w:rsidRDefault="00E2348B"/>
    <w:sectPr w:rsidR="00E2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9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2C"/>
    <w:rsid w:val="00737C2C"/>
    <w:rsid w:val="00C25487"/>
    <w:rsid w:val="00E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B39"/>
  <w15:chartTrackingRefBased/>
  <w15:docId w15:val="{551AC491-D39F-48B7-98BC-1D4E6A3B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2022-04-16T10:21:00Z</dcterms:created>
  <dcterms:modified xsi:type="dcterms:W3CDTF">2022-04-16T10:27:00Z</dcterms:modified>
</cp:coreProperties>
</file>