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DF7E" w14:textId="77777777" w:rsidR="006C31C8" w:rsidRPr="006C31C8" w:rsidRDefault="006C31C8" w:rsidP="006C31C8">
      <w:pPr>
        <w:rPr>
          <w:b/>
          <w:bCs/>
        </w:rPr>
      </w:pPr>
      <w:r w:rsidRPr="006C31C8">
        <w:rPr>
          <w:b/>
          <w:bCs/>
        </w:rPr>
        <w:t>Artykuły wykorzystujące dataset ARCADE (dowolna wersja)</w:t>
      </w:r>
    </w:p>
    <w:p w14:paraId="74A3B984" w14:textId="77777777" w:rsidR="006C31C8" w:rsidRPr="006C31C8" w:rsidRDefault="006C31C8" w:rsidP="006C31C8">
      <w:pPr>
        <w:rPr>
          <w:b/>
          <w:bCs/>
        </w:rPr>
      </w:pPr>
      <w:r w:rsidRPr="006C31C8">
        <w:rPr>
          <w:b/>
          <w:bCs/>
        </w:rPr>
        <w:t>1. Dataset for Automatic Region-based Coronary Artery Disease Diagnostics Using X-Ray Angiography Images</w:t>
      </w:r>
    </w:p>
    <w:p w14:paraId="4810E780" w14:textId="77777777" w:rsidR="006C31C8" w:rsidRPr="006C31C8" w:rsidRDefault="006C31C8" w:rsidP="006C31C8">
      <w:r w:rsidRPr="006C31C8">
        <w:rPr>
          <w:b/>
          <w:bCs/>
        </w:rPr>
        <w:t>Link:</w:t>
      </w:r>
      <w:r w:rsidRPr="006C31C8">
        <w:t xml:space="preserve"> </w:t>
      </w:r>
      <w:hyperlink r:id="rId4" w:history="1">
        <w:r w:rsidRPr="006C31C8">
          <w:rPr>
            <w:rStyle w:val="Hipercze"/>
          </w:rPr>
          <w:t>https://www.nature.com/articles/s41597-023-02871-z</w:t>
        </w:r>
      </w:hyperlink>
    </w:p>
    <w:p w14:paraId="4B8DFEBA" w14:textId="77777777" w:rsidR="006C31C8" w:rsidRPr="006C31C8" w:rsidRDefault="006C31C8" w:rsidP="006C31C8">
      <w:r w:rsidRPr="006C31C8">
        <w:t>Główny artykuł opisujący dataset ARCADE opublikowany w Scientific Data (styczeń 2024) przez Popov et al. Przedstawia dataset zawierający 3000 ekspertowo oznaczonych obrazów angiografii rentgenowskiej: 1500 do klasyfikacji segmentów naczyń według SYNTAX Score i 1500 do detekcji zwężeń. Dataset został opublikowany dla MICCAI 2023 challenge i zawiera baseline modele (U-Net, YOLOv8).</w:t>
      </w:r>
    </w:p>
    <w:p w14:paraId="21720E9F" w14:textId="77777777" w:rsidR="006C31C8" w:rsidRPr="006C31C8" w:rsidRDefault="006C31C8" w:rsidP="006C31C8">
      <w:pPr>
        <w:rPr>
          <w:b/>
          <w:bCs/>
        </w:rPr>
      </w:pPr>
      <w:r w:rsidRPr="006C31C8">
        <w:rPr>
          <w:b/>
          <w:bCs/>
        </w:rPr>
        <w:t>2. LASF: a local adaptive segmentation framework for coronary angiogram segments</w:t>
      </w:r>
    </w:p>
    <w:p w14:paraId="2FA7B691" w14:textId="77777777" w:rsidR="006C31C8" w:rsidRPr="006C31C8" w:rsidRDefault="006C31C8" w:rsidP="006C31C8">
      <w:r w:rsidRPr="006C31C8">
        <w:rPr>
          <w:b/>
          <w:bCs/>
        </w:rPr>
        <w:t>Link:</w:t>
      </w:r>
      <w:r w:rsidRPr="006C31C8">
        <w:t xml:space="preserve"> </w:t>
      </w:r>
      <w:hyperlink r:id="rId5" w:history="1">
        <w:r w:rsidRPr="006C31C8">
          <w:rPr>
            <w:rStyle w:val="Hipercze"/>
          </w:rPr>
          <w:t>https://pubmed.ncbi.nlm.nih.gov/39881813/</w:t>
        </w:r>
      </w:hyperlink>
    </w:p>
    <w:p w14:paraId="5013931F" w14:textId="77777777" w:rsidR="006C31C8" w:rsidRPr="006C31C8" w:rsidRDefault="006C31C8" w:rsidP="006C31C8">
      <w:r w:rsidRPr="006C31C8">
        <w:t>Artykuł z Health Information Science and Systems (styczeń 2025) rozwijający framework LASF oparty na YOLOv8 z algorytmami dylatacji i erozji. Autorzy wzbogacili dataset ARCADE o dodatkowe adnotacje proksymalnych i dystalnych segmentów naczyń. Model przewyższa UNet i DeepLabV3Plus w zadaniach segmentacji naczyń wieńcowych.</w:t>
      </w:r>
    </w:p>
    <w:p w14:paraId="19FFD9D1" w14:textId="77777777" w:rsidR="006C31C8" w:rsidRPr="006C31C8" w:rsidRDefault="006C31C8" w:rsidP="006C31C8">
      <w:pPr>
        <w:rPr>
          <w:b/>
          <w:bCs/>
        </w:rPr>
      </w:pPr>
      <w:r w:rsidRPr="006C31C8">
        <w:rPr>
          <w:b/>
          <w:bCs/>
        </w:rPr>
        <w:t>3. Evaluating Stenosis Detection with Grounding DINO, YOLO, and DINO-DETR</w:t>
      </w:r>
    </w:p>
    <w:p w14:paraId="0753DA55" w14:textId="77777777" w:rsidR="006C31C8" w:rsidRPr="006C31C8" w:rsidRDefault="006C31C8" w:rsidP="006C31C8">
      <w:r w:rsidRPr="006C31C8">
        <w:rPr>
          <w:b/>
          <w:bCs/>
        </w:rPr>
        <w:t>Link:</w:t>
      </w:r>
      <w:r w:rsidRPr="006C31C8">
        <w:t xml:space="preserve"> </w:t>
      </w:r>
      <w:hyperlink r:id="rId6" w:history="1">
        <w:r w:rsidRPr="006C31C8">
          <w:rPr>
            <w:rStyle w:val="Hipercze"/>
          </w:rPr>
          <w:t>https://arxiv.org/html/2503.01601v1</w:t>
        </w:r>
      </w:hyperlink>
    </w:p>
    <w:p w14:paraId="36EB9338" w14:textId="77777777" w:rsidR="006C31C8" w:rsidRPr="006C31C8" w:rsidRDefault="006C31C8" w:rsidP="006C31C8">
      <w:r w:rsidRPr="006C31C8">
        <w:t>Badanie porównawcze z marca 2025 ewaluujące trzy architektury detekcji obiektów (Grounding DINO, YOLO, DINO-DETR) na datasecie ARCADE. Używa metryk IoU, Average Precision i Average Recall do analizy dokładności detekcji zwężeń w obrazach angiografii. Dostarcza porównanie wydajności różnych architektur dla diagnostyki CAD.</w:t>
      </w:r>
    </w:p>
    <w:p w14:paraId="067BA8DC" w14:textId="77777777" w:rsidR="006C31C8" w:rsidRPr="006C31C8" w:rsidRDefault="006C31C8" w:rsidP="006C31C8">
      <w:pPr>
        <w:rPr>
          <w:b/>
          <w:bCs/>
        </w:rPr>
      </w:pPr>
      <w:r w:rsidRPr="006C31C8">
        <w:rPr>
          <w:b/>
          <w:bCs/>
        </w:rPr>
        <w:t>4. Accurate segmentation and labeling of coronary artery segments in X-ray angiography with an improved UNet-based cGAN architecture</w:t>
      </w:r>
    </w:p>
    <w:p w14:paraId="5109A769" w14:textId="77777777" w:rsidR="006C31C8" w:rsidRPr="006C31C8" w:rsidRDefault="006C31C8" w:rsidP="006C31C8">
      <w:r w:rsidRPr="006C31C8">
        <w:rPr>
          <w:b/>
          <w:bCs/>
        </w:rPr>
        <w:t>Link:</w:t>
      </w:r>
      <w:r w:rsidRPr="006C31C8">
        <w:t xml:space="preserve"> </w:t>
      </w:r>
      <w:hyperlink r:id="rId7" w:history="1">
        <w:r w:rsidRPr="006C31C8">
          <w:rPr>
            <w:rStyle w:val="Hipercze"/>
          </w:rPr>
          <w:t>https://www.sciencedirect.com/science/article/abs/pii/S1746809425013230</w:t>
        </w:r>
      </w:hyperlink>
    </w:p>
    <w:p w14:paraId="7A68366A" w14:textId="77777777" w:rsidR="006C31C8" w:rsidRPr="006C31C8" w:rsidRDefault="006C31C8" w:rsidP="006C31C8">
      <w:r w:rsidRPr="006C31C8">
        <w:t>Artykuł z Biomedical Signal Processing and Control (październik 2025) przedstawiający model UCNet oparty na conditional GAN. Ewaluowany na ARCADE Challenge datasets z MICCAI 2023, osiąga średni F1 score 84.43% na 20 segmentach tętnic wieńcowych. Model wprowadza nową funkcję straty ("segment loss") poprawiającą dokładność klasyfikacji i segmentacji granic.</w:t>
      </w:r>
    </w:p>
    <w:p w14:paraId="0AFC8775" w14:textId="77777777" w:rsidR="006C31C8" w:rsidRPr="006C31C8" w:rsidRDefault="006C31C8" w:rsidP="006C31C8">
      <w:pPr>
        <w:rPr>
          <w:b/>
          <w:bCs/>
        </w:rPr>
      </w:pPr>
      <w:r w:rsidRPr="006C31C8">
        <w:rPr>
          <w:b/>
          <w:bCs/>
        </w:rPr>
        <w:t>5. Coronary Tree Segmentation and Labelling in X-ray Angiography Images Using Graph Deep Learning</w:t>
      </w:r>
    </w:p>
    <w:p w14:paraId="14E54C3A" w14:textId="77777777" w:rsidR="006C31C8" w:rsidRPr="006C31C8" w:rsidRDefault="006C31C8" w:rsidP="006C31C8">
      <w:r w:rsidRPr="006C31C8">
        <w:rPr>
          <w:b/>
          <w:bCs/>
        </w:rPr>
        <w:t>Link:</w:t>
      </w:r>
      <w:r w:rsidRPr="006C31C8">
        <w:t xml:space="preserve"> </w:t>
      </w:r>
      <w:hyperlink r:id="rId8" w:history="1">
        <w:r w:rsidRPr="006C31C8">
          <w:rPr>
            <w:rStyle w:val="Hipercze"/>
          </w:rPr>
          <w:t>https://link.springer.com/chapter/10.1007/978-3-658-47422-5_51</w:t>
        </w:r>
      </w:hyperlink>
    </w:p>
    <w:p w14:paraId="3BAA13CE" w14:textId="77777777" w:rsidR="006C31C8" w:rsidRPr="006C31C8" w:rsidRDefault="006C31C8" w:rsidP="006C31C8">
      <w:r w:rsidRPr="006C31C8">
        <w:lastRenderedPageBreak/>
        <w:t>Publikacja ze Springer (2025) wykorzystująca graph convolutional networks do labelowania segmentów tętnic wieńcowych. Reprezentuje strukturę drzewa wieńcowego jako graf wyekstrahowany z obrazu angiografii. Trenowany i ewaluowany na datasecie ARCADE, osiągnął F1-score 53.68 dla klasyfikacji węzłów grafu według schematu SYNTAX.</w:t>
      </w:r>
    </w:p>
    <w:p w14:paraId="06C68B4C" w14:textId="77777777" w:rsidR="006C31C8" w:rsidRPr="006C31C8" w:rsidRDefault="006C31C8" w:rsidP="006C31C8">
      <w:pPr>
        <w:rPr>
          <w:b/>
          <w:bCs/>
        </w:rPr>
      </w:pPr>
      <w:r w:rsidRPr="006C31C8">
        <w:rPr>
          <w:b/>
          <w:bCs/>
        </w:rPr>
        <w:t>6. Deep vessel segmentation with U-Net and texture representation of image (TRI) features</w:t>
      </w:r>
    </w:p>
    <w:p w14:paraId="09DAA4B3" w14:textId="77777777" w:rsidR="006C31C8" w:rsidRPr="006C31C8" w:rsidRDefault="006C31C8" w:rsidP="006C31C8">
      <w:r w:rsidRPr="006C31C8">
        <w:rPr>
          <w:b/>
          <w:bCs/>
        </w:rPr>
        <w:t>Link:</w:t>
      </w:r>
      <w:r w:rsidRPr="006C31C8">
        <w:t xml:space="preserve"> </w:t>
      </w:r>
      <w:hyperlink r:id="rId9" w:history="1">
        <w:r w:rsidRPr="006C31C8">
          <w:rPr>
            <w:rStyle w:val="Hipercze"/>
          </w:rPr>
          <w:t>https://www.sciencedirect.com/science/article/abs/pii/S0169260725004894</w:t>
        </w:r>
      </w:hyperlink>
    </w:p>
    <w:p w14:paraId="23ED2273" w14:textId="77777777" w:rsidR="006C31C8" w:rsidRPr="006C31C8" w:rsidRDefault="006C31C8" w:rsidP="006C31C8">
      <w:r w:rsidRPr="006C31C8">
        <w:t>Artykuł z Computer Methods and Programs in Biomedicine (wrzesień 2025) integrujący cechy tekstury Haralicka i Law'a z architekturą U-Net. Model osiąga 98% accuracy i 0.89 F1-score na klinicznych danych, a także jest benchmarkowany na datasecie ARCADE (F1: 0.78). Wykorzystuje zaawansowane preprocessowanie do poprawy jakości obrazu przed segmentacją.</w:t>
      </w:r>
    </w:p>
    <w:p w14:paraId="5B4F4AD3" w14:textId="77777777" w:rsidR="006C31C8" w:rsidRPr="006C31C8" w:rsidRDefault="006C31C8" w:rsidP="006C31C8">
      <w:pPr>
        <w:rPr>
          <w:b/>
          <w:bCs/>
        </w:rPr>
      </w:pPr>
      <w:r w:rsidRPr="006C31C8">
        <w:rPr>
          <w:b/>
          <w:bCs/>
        </w:rPr>
        <w:t>7. CAG-VLM: Fine-Tuning of a Large-Scale Model to Recognize Angiographic Images for Next-Generation Diagnostic Systems</w:t>
      </w:r>
    </w:p>
    <w:p w14:paraId="0BF67193" w14:textId="77777777" w:rsidR="006C31C8" w:rsidRPr="006C31C8" w:rsidRDefault="006C31C8" w:rsidP="006C31C8">
      <w:r w:rsidRPr="006C31C8">
        <w:rPr>
          <w:b/>
          <w:bCs/>
        </w:rPr>
        <w:t>Link:</w:t>
      </w:r>
      <w:r w:rsidRPr="006C31C8">
        <w:t xml:space="preserve"> </w:t>
      </w:r>
      <w:hyperlink r:id="rId10" w:history="1">
        <w:r w:rsidRPr="006C31C8">
          <w:rPr>
            <w:rStyle w:val="Hipercze"/>
          </w:rPr>
          <w:t>https://arxiv.org/abs/2505.04964</w:t>
        </w:r>
      </w:hyperlink>
    </w:p>
    <w:p w14:paraId="086FBD9E" w14:textId="77777777" w:rsidR="006C31C8" w:rsidRPr="006C31C8" w:rsidRDefault="006C31C8" w:rsidP="006C31C8">
      <w:r w:rsidRPr="006C31C8">
        <w:t>Artykuł z maja 2025 o fine-tuningu vision-language models dla diagnostyki CAG. Autorzy cytują ARCADE jako benchmark zawierający 1,200 obrazów z adnotacjami według metodologii SYNTAX Score. Wprowadzają dwujęzyczny (japońsko-angielski) dataset i fine-tunują VLM (PaliGemma2, Gemma3) do generowania raportów klinicznych z obrazów angiografii.</w:t>
      </w:r>
    </w:p>
    <w:p w14:paraId="41CA0621" w14:textId="77777777" w:rsidR="006C31C8" w:rsidRPr="006C31C8" w:rsidRDefault="006C31C8" w:rsidP="006C31C8">
      <w:pPr>
        <w:rPr>
          <w:b/>
          <w:bCs/>
        </w:rPr>
      </w:pPr>
      <w:r w:rsidRPr="006C31C8">
        <w:rPr>
          <w:b/>
          <w:bCs/>
        </w:rPr>
        <w:t>8. CoronaryDominance: Angiogram dataset for coronary dominance classification</w:t>
      </w:r>
    </w:p>
    <w:p w14:paraId="7E59EE82" w14:textId="77777777" w:rsidR="006C31C8" w:rsidRPr="006C31C8" w:rsidRDefault="006C31C8" w:rsidP="006C31C8">
      <w:r w:rsidRPr="006C31C8">
        <w:rPr>
          <w:b/>
          <w:bCs/>
        </w:rPr>
        <w:t>Link:</w:t>
      </w:r>
      <w:r w:rsidRPr="006C31C8">
        <w:t xml:space="preserve"> </w:t>
      </w:r>
      <w:hyperlink r:id="rId11" w:history="1">
        <w:r w:rsidRPr="006C31C8">
          <w:rPr>
            <w:rStyle w:val="Hipercze"/>
          </w:rPr>
          <w:t>https://www.nature.com/articles/s41597-025-04676-8</w:t>
        </w:r>
      </w:hyperlink>
    </w:p>
    <w:p w14:paraId="5B1FFF37" w14:textId="77777777" w:rsidR="006C31C8" w:rsidRPr="006C31C8" w:rsidRDefault="006C31C8" w:rsidP="006C31C8">
      <w:r w:rsidRPr="006C31C8">
        <w:t>Artykuł z Scientific Data (luty 2025) prezentujący nowy dataset dla klasyfikacji dominacji wieńcowej. Autorzy cytują ARCADE jako najnowszy dataset zawierający 1,500 obrazów do segmentacji naczyń wieńcowych, klasyfikacji i detekcji zwężeń. Wykorzystują ARCADE jako punkt odniesienia dla porównania z własnym datasetem obejmującym 1,574 badania angiograficzne.</w:t>
      </w:r>
    </w:p>
    <w:p w14:paraId="5B5AD548" w14:textId="77777777" w:rsidR="006C31C8" w:rsidRDefault="006C31C8"/>
    <w:sectPr w:rsidR="006C31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C8"/>
    <w:rsid w:val="00186645"/>
    <w:rsid w:val="006C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66CF8"/>
  <w15:chartTrackingRefBased/>
  <w15:docId w15:val="{2DD00191-C6A7-47FF-A7C3-9D20B3F5E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C3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C3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3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3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3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3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3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3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3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3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C3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3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31C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31C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31C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31C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31C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31C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C3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C3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3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C3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C3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C31C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C31C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C31C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3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31C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C31C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C31C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C3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chapter/10.1007/978-3-658-47422-5_5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ciencedirect.com/science/article/abs/pii/S174680942501323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html/2503.01601v1" TargetMode="External"/><Relationship Id="rId11" Type="http://schemas.openxmlformats.org/officeDocument/2006/relationships/hyperlink" Target="https://www.nature.com/articles/s41597-025-04676-8" TargetMode="External"/><Relationship Id="rId5" Type="http://schemas.openxmlformats.org/officeDocument/2006/relationships/hyperlink" Target="https://pubmed.ncbi.nlm.nih.gov/39881813/" TargetMode="External"/><Relationship Id="rId10" Type="http://schemas.openxmlformats.org/officeDocument/2006/relationships/hyperlink" Target="https://arxiv.org/abs/2505.04964" TargetMode="External"/><Relationship Id="rId4" Type="http://schemas.openxmlformats.org/officeDocument/2006/relationships/hyperlink" Target="https://www.nature.com/articles/s41597-023-02871-z" TargetMode="External"/><Relationship Id="rId9" Type="http://schemas.openxmlformats.org/officeDocument/2006/relationships/hyperlink" Target="https://www.sciencedirect.com/science/article/abs/pii/S0169260725004894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658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Burek</dc:creator>
  <cp:keywords/>
  <dc:description/>
  <cp:lastModifiedBy>Jakub Burek</cp:lastModifiedBy>
  <cp:revision>1</cp:revision>
  <dcterms:created xsi:type="dcterms:W3CDTF">2025-11-24T16:56:00Z</dcterms:created>
  <dcterms:modified xsi:type="dcterms:W3CDTF">2025-11-24T16:56:00Z</dcterms:modified>
</cp:coreProperties>
</file>