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xml="http://www.w3.org/XML/1998/namespace">
  <w:body>
    <w:p>
      <w:pPr>
        <w:spacing w:before="300" w:after="180" w:line="276" w:lineRule="auto"/>
      </w:pPr>
      <w:r>
        <w:rPr>
          <w:b/>
          <w:color w:val="B18A32"/>
          <w:sz w:val="22"/>
          <w:szCs w:val="22"/>
        </w:rPr>
        <w:t xml:space="preserve">DOSSIER DE PRÉPARATION</w:t>
      </w:r>
    </w:p>
    <w:p>
      <w:pPr>
        <w:spacing w:before="0" w:after="100" w:line="276" w:lineRule="auto"/>
      </w:pPr>
      <w:r>
        <w:rPr>
          <w:b/>
          <w:color w:val="183C31"/>
          <w:sz w:val="38"/>
          <w:szCs w:val="38"/>
        </w:rPr>
        <w:t xml:space="preserve">Publication sur Google Play</w:t>
      </w:r>
    </w:p>
    <w:p>
      <w:pPr>
        <w:spacing w:before="0" w:after="280" w:line="276" w:lineRule="auto"/>
      </w:pPr>
      <w:r>
        <w:rPr>
          <w:b/>
          <w:color w:val="24352D"/>
          <w:sz w:val="28"/>
          <w:szCs w:val="28"/>
        </w:rPr>
        <w:t xml:space="preserve">Les Plantes Sacrées d’Afrique de l’Ouest</w:t>
      </w:r>
    </w:p>
    <w:p>
      <w:pPr>
        <w:spacing w:before="0" w:after="360" w:line="276" w:lineRule="auto"/>
      </w:pPr>
      <w:r>
        <w:rPr>
          <w:color w:val="53635A"/>
          <w:sz w:val="23"/>
          <w:szCs w:val="23"/>
        </w:rPr>
        <w:t xml:space="preserve">Guide de collecte des informations, de conformité et de mise en ligne</w:t>
      </w:r>
    </w:p>
    <w:tbl>
      <w:tblPr>
        <w:tblW w:w="0" w:type="auto"/>
        <w:tblLayout w:type="fixed"/>
        <w:tblBorders>
          <w:top w:val="single" w:sz="5" w:color="D8DFD7"/>
          <w:left w:val="single" w:sz="5" w:color="D8DFD7"/>
          <w:bottom w:val="single" w:sz="5" w:color="D8DFD7"/>
          <w:right w:val="single" w:sz="5" w:color="D8DFD7"/>
          <w:insideH w:val="single" w:sz="4" w:color="E1E6E0"/>
          <w:insideV w:val="single" w:sz="4" w:color="E1E6E0"/>
        </w:tblBorders>
        <w:tblCellMar>
          <w:top w:w="65" w:type="dxa"/>
          <w:left w:w="75" w:type="dxa"/>
          <w:bottom w:w="65" w:type="dxa"/>
          <w:right w:w="75" w:type="dxa"/>
        </w:tblCellMar>
      </w:tblPr>
      <w:tblGrid>
        <w:gridCol w:w="3000"/>
        <w:gridCol w:w="2200"/>
        <w:gridCol w:w="3800"/>
      </w:tblGrid>
      <w:tr>
        <w:tc>
          <w:tcPr>
            <w:tcW w:w="3000" w:type="dxa"/>
            <w:shd w:fill="8A6720" w:val="clear"/>
            <w:tcMar>
              <w:top w:w="85" w:type="dxa"/>
              <w:left w:w="105" w:type="dxa"/>
              <w:bottom w:w="85" w:type="dxa"/>
              <w:right w:w="105" w:type="dxa"/>
            </w:tcMar>
          </w:tcPr>
          <w:p>
            <w:pPr>
              <w:spacing w:after="30" w:line="235"/>
            </w:pPr>
            <w:r>
              <w:rPr>
                <w:b/>
                <w:color w:val="FFFFFF"/>
                <w:sz w:val="19"/>
                <w:szCs w:val="19"/>
              </w:rPr>
              <w:t xml:space="preserve">STATUT DU DOSSIER</w:t>
            </w:r>
          </w:p>
        </w:tc>
        <w:tc>
          <w:tcPr>
            <w:tcW w:w="2200" w:type="dxa"/>
            <w:shd w:fill="8A6720" w:val="clear"/>
            <w:tcMar>
              <w:top w:w="85" w:type="dxa"/>
              <w:left w:w="105" w:type="dxa"/>
              <w:bottom w:w="85" w:type="dxa"/>
              <w:right w:w="105" w:type="dxa"/>
            </w:tcMar>
          </w:tcPr>
          <w:p>
            <w:pPr>
              <w:spacing w:after="30" w:line="235"/>
            </w:pPr>
            <w:r>
              <w:rPr>
                <w:b/>
                <w:color w:val="FFFFFF"/>
                <w:sz w:val="19"/>
                <w:szCs w:val="19"/>
              </w:rPr>
              <w:t xml:space="preserve">DATE DE L’AUDIT</w:t>
            </w:r>
          </w:p>
        </w:tc>
        <w:tc>
          <w:tcPr>
            <w:tcW w:w="3800" w:type="dxa"/>
            <w:shd w:fill="8A6720" w:val="clear"/>
            <w:tcMar>
              <w:top w:w="85" w:type="dxa"/>
              <w:left w:w="105" w:type="dxa"/>
              <w:bottom w:w="85" w:type="dxa"/>
              <w:right w:w="105" w:type="dxa"/>
            </w:tcMar>
          </w:tcPr>
          <w:p>
            <w:pPr>
              <w:spacing w:after="30" w:line="235"/>
            </w:pPr>
            <w:r>
              <w:rPr>
                <w:b/>
                <w:color w:val="FFFFFF"/>
                <w:sz w:val="19"/>
                <w:szCs w:val="19"/>
              </w:rPr>
              <w:t xml:space="preserve">PÉRIMÈTRE</w:t>
            </w:r>
          </w:p>
        </w:tc>
      </w:tr>
      <w:tr>
        <w:tc>
          <w:tcPr>
            <w:tcW w:w="3000" w:type="dxa"/>
            <w:shd w:fill="F3F6F2" w:val="clear"/>
            <w:tcMar>
              <w:top w:w="85" w:type="dxa"/>
              <w:left w:w="105" w:type="dxa"/>
              <w:bottom w:w="85" w:type="dxa"/>
              <w:right w:w="105" w:type="dxa"/>
            </w:tcMar>
          </w:tcPr>
          <w:p>
            <w:pPr>
              <w:spacing w:after="30" w:line="235"/>
            </w:pPr>
            <w:r>
              <w:rPr>
                <w:color w:val="24352D"/>
                <w:sz w:val="18"/>
                <w:szCs w:val="18"/>
              </w:rPr>
              <w:t xml:space="preserve">À COMPLÉTER AVANT SOUMISSION — plusieurs blocages ouverts</w:t>
            </w:r>
          </w:p>
        </w:tc>
        <w:tc>
          <w:tcPr>
            <w:tcW w:w="2200" w:type="dxa"/>
            <w:shd w:fill="F3F6F2" w:val="clear"/>
            <w:tcMar>
              <w:top w:w="85" w:type="dxa"/>
              <w:left w:w="105" w:type="dxa"/>
              <w:bottom w:w="85" w:type="dxa"/>
              <w:right w:w="105" w:type="dxa"/>
            </w:tcMar>
          </w:tcPr>
          <w:p>
            <w:pPr>
              <w:spacing w:after="30" w:line="235"/>
            </w:pPr>
            <w:r>
              <w:rPr>
                <w:color w:val="24352D"/>
                <w:sz w:val="18"/>
                <w:szCs w:val="18"/>
              </w:rPr>
              <w:t xml:space="preserve">29 septembre 2026</w:t>
            </w:r>
          </w:p>
        </w:tc>
        <w:tc>
          <w:tcPr>
            <w:tcW w:w="3800" w:type="dxa"/>
            <w:shd w:fill="F3F6F2" w:val="clear"/>
            <w:tcMar>
              <w:top w:w="85" w:type="dxa"/>
              <w:left w:w="105" w:type="dxa"/>
              <w:bottom w:w="85" w:type="dxa"/>
              <w:right w:w="105" w:type="dxa"/>
            </w:tcMar>
          </w:tcPr>
          <w:p>
            <w:pPr>
              <w:spacing w:after="30" w:line="235"/>
            </w:pPr>
            <w:r>
              <w:rPr>
                <w:color w:val="24352D"/>
                <w:sz w:val="18"/>
                <w:szCs w:val="18"/>
              </w:rPr>
              <w:t xml:space="preserve">Préparation uniquement. Aucune modification de l’application et aucune publication.</w:t>
            </w:r>
          </w:p>
        </w:tc>
      </w:tr>
    </w:tbl>
    <w:p>
      <w:pPr>
        <w:pStyle w:val="Heading2"/>
        <w:spacing w:before="100" w:after="140" w:line="276" w:lineRule="auto"/>
        <w:keepNext/>
      </w:pPr>
      <w:r>
        <w:t xml:space="preserve">À lire avant de commencer</w:t>
      </w:r>
    </w:p>
    <w:p>
      <w:pPr>
        <w:spacing w:before="0" w:after="150" w:line="276" w:lineRule="auto"/>
      </w:pPr>
      <w:r>
        <w:t xml:space="preserve">Ce document sépare les éléments constatés dans le code de ceux qui doivent être décidés ou vérifiés par l’éditeur. Il ne constitue ni une validation juridique ni une garantie d’acceptation par Google Play.</w:t>
      </w:r>
    </w:p>
    <w:p>
      <w:pPr>
        <w:spacing w:before="0" w:after="150" w:line="276" w:lineRule="auto"/>
      </w:pPr>
      <w:r>
        <w:rPr>
          <w:b/>
          <w:color w:val="8A3D2E"/>
        </w:rPr>
        <w:t xml:space="preserve">Règle de prudence : </w:t>
      </w:r>
      <w:r>
        <w:rPr>
          <w:color w:val="24352D"/>
        </w:rPr>
        <w:t xml:space="preserve">ne pas inscrire dans ce document de mot de passe, jeton, clé de signature, secret d’API, données bancaires ou identifiants d’accès. Les accès de test se transmettent uniquement par les champs prévus dans Play Console.</w:t>
      </w:r>
    </w:p>
    <w:p>
      <w:pPr>
        <w:pStyle w:val="Heading2"/>
        <w:spacing w:before="100" w:after="140" w:line="276" w:lineRule="auto"/>
        <w:keepNext/>
      </w:pPr>
      <w:r>
        <w:t xml:space="preserve">Résumé exécutif</w:t>
      </w:r>
    </w:p>
    <w:p>
      <w:pPr>
        <w:pStyle w:val="ListParagraph"/>
        <w:numPr>
          <w:ilvl w:val="0"/>
          <w:numId w:val="1"/>
        </w:numPr>
        <w:spacing w:after="75" w:line="260"/>
      </w:pPr>
      <w:r>
        <w:t xml:space="preserve">Identifiant Android et version identifiés : com.sotyssi.plantessacrees, version 1.0.0, versionCode 4.</w:t>
      </w:r>
    </w:p>
    <w:p>
      <w:pPr>
        <w:pStyle w:val="ListParagraph"/>
        <w:numPr>
          <w:ilvl w:val="0"/>
          <w:numId w:val="1"/>
        </w:numPr>
        <w:spacing w:after="75" w:line="260"/>
      </w:pPr>
      <w:r>
        <w:t xml:space="preserve">Le parcours observé traite des comptes, images de plantes, messages de chat, jetons de notification et données de paiement hébergé par SAS Pay.</w:t>
      </w:r>
    </w:p>
    <w:p>
      <w:pPr>
        <w:pStyle w:val="ListParagraph"/>
        <w:numPr>
          <w:ilvl w:val="0"/>
          <w:numId w:val="1"/>
        </w:numPr>
        <w:spacing w:after="75" w:line="260"/>
      </w:pPr>
      <w:r>
        <w:t xml:space="preserve">Aucune politique de confidentialité ni procédure de suppression de compte n’a été repérée dans le périmètre inspecté.</w:t>
      </w:r>
    </w:p>
    <w:p>
      <w:pPr>
        <w:pStyle w:val="ListParagraph"/>
        <w:numPr>
          <w:ilvl w:val="0"/>
          <w:numId w:val="1"/>
        </w:numPr>
        <w:spacing w:after="75" w:line="260"/>
      </w:pPr>
      <w:r>
        <w:t xml:space="preserve">Le niveau API Android réellement embarqué doit être confirmé dans l’AAB avant soumission.</w:t>
      </w:r>
    </w:p>
    <w:p>
      <w:pPr>
        <w:pStyle w:val="ListParagraph"/>
        <w:numPr>
          <w:ilvl w:val="0"/>
          <w:numId w:val="1"/>
        </w:numPr>
        <w:spacing w:after="75" w:line="260"/>
      </w:pPr>
      <w:r>
        <w:t xml:space="preserve">Le paiement SAS Pay doit être examiné au regard de la règle Google Play Billing si l’abonnement débloque des services numériques dans l’application.</w:t>
      </w:r>
    </w:p>
    <w:p>
      <w:r>
        <w:br w:type="page"/>
      </w:r>
    </w:p>
    <w:p>
      <w:pPr>
        <w:pStyle w:val="Heading1"/>
        <w:spacing w:before="150" w:after="140" w:line="276" w:lineRule="auto"/>
        <w:keepNext/>
      </w:pPr>
      <w:r>
        <w:t xml:space="preserve">1. Identité de l’application et état vérifié</w:t>
      </w:r>
    </w:p>
    <w:p>
      <w:pPr>
        <w:spacing w:before="0" w:after="130" w:line="276" w:lineRule="auto"/>
      </w:pPr>
      <w:r>
        <w:t xml:space="preserve">Valeurs relevées dans la configuration et les parcours du dépôt au 29 septembre 2026. Elles décrivent le code observé, pas le contenu d’un paquet déjà accepté par Google.</w:t>
      </w:r>
    </w:p>
    <w:tbl>
      <w:tblPr>
        <w:tblW w:w="0" w:type="auto"/>
        <w:tblLayout w:type="fixed"/>
        <w:tblBorders>
          <w:top w:val="single" w:sz="5" w:color="D8DFD7"/>
          <w:left w:val="single" w:sz="5" w:color="D8DFD7"/>
          <w:bottom w:val="single" w:sz="5" w:color="D8DFD7"/>
          <w:right w:val="single" w:sz="5" w:color="D8DFD7"/>
          <w:insideH w:val="single" w:sz="4" w:color="E1E6E0"/>
          <w:insideV w:val="single" w:sz="4" w:color="E1E6E0"/>
        </w:tblBorders>
        <w:tblCellMar>
          <w:top w:w="65" w:type="dxa"/>
          <w:left w:w="75" w:type="dxa"/>
          <w:bottom w:w="65" w:type="dxa"/>
          <w:right w:w="75" w:type="dxa"/>
        </w:tblCellMar>
      </w:tblPr>
      <w:tblGrid>
        <w:gridCol w:w="2100"/>
        <w:gridCol w:w="3100"/>
        <w:gridCol w:w="3800"/>
      </w:tblGrid>
      <w:tr>
        <w:tc>
          <w:tcPr>
            <w:tcW w:w="2100" w:type="dxa"/>
            <w:shd w:fill="183C31" w:val="clear"/>
            <w:tcMar>
              <w:top w:w="85" w:type="dxa"/>
              <w:left w:w="105" w:type="dxa"/>
              <w:bottom w:w="85" w:type="dxa"/>
              <w:right w:w="105" w:type="dxa"/>
            </w:tcMar>
          </w:tcPr>
          <w:p>
            <w:pPr>
              <w:spacing w:after="30" w:line="235"/>
            </w:pPr>
            <w:r>
              <w:rPr>
                <w:b/>
                <w:color w:val="FFFFFF"/>
                <w:sz w:val="19"/>
                <w:szCs w:val="19"/>
              </w:rPr>
              <w:t xml:space="preserve">Élément</w:t>
            </w:r>
          </w:p>
        </w:tc>
        <w:tc>
          <w:tcPr>
            <w:tcW w:w="3100" w:type="dxa"/>
            <w:shd w:fill="183C31" w:val="clear"/>
            <w:tcMar>
              <w:top w:w="85" w:type="dxa"/>
              <w:left w:w="105" w:type="dxa"/>
              <w:bottom w:w="85" w:type="dxa"/>
              <w:right w:w="105" w:type="dxa"/>
            </w:tcMar>
          </w:tcPr>
          <w:p>
            <w:pPr>
              <w:spacing w:after="30" w:line="235"/>
            </w:pPr>
            <w:r>
              <w:rPr>
                <w:b/>
                <w:color w:val="FFFFFF"/>
                <w:sz w:val="19"/>
                <w:szCs w:val="19"/>
              </w:rPr>
              <w:t xml:space="preserve">Valeur constatée</w:t>
            </w:r>
          </w:p>
        </w:tc>
        <w:tc>
          <w:tcPr>
            <w:tcW w:w="3800" w:type="dxa"/>
            <w:shd w:fill="183C31" w:val="clear"/>
            <w:tcMar>
              <w:top w:w="85" w:type="dxa"/>
              <w:left w:w="105" w:type="dxa"/>
              <w:bottom w:w="85" w:type="dxa"/>
              <w:right w:w="105" w:type="dxa"/>
            </w:tcMar>
          </w:tcPr>
          <w:p>
            <w:pPr>
              <w:spacing w:after="30" w:line="235"/>
            </w:pPr>
            <w:r>
              <w:rPr>
                <w:b/>
                <w:color w:val="FFFFFF"/>
                <w:sz w:val="19"/>
                <w:szCs w:val="19"/>
              </w:rPr>
              <w:t xml:space="preserve">Note</w:t>
            </w:r>
          </w:p>
        </w:tc>
      </w:tr>
      <w:tr>
        <w:tc>
          <w:tcPr>
            <w:tcW w:w="2100" w:type="dxa"/>
            <w:shd w:fill="F3F6F2" w:val="clear"/>
            <w:tcMar>
              <w:top w:w="85" w:type="dxa"/>
              <w:left w:w="105" w:type="dxa"/>
              <w:bottom w:w="85" w:type="dxa"/>
              <w:right w:w="105" w:type="dxa"/>
            </w:tcMar>
          </w:tcPr>
          <w:p>
            <w:pPr>
              <w:spacing w:after="30" w:line="235"/>
            </w:pPr>
            <w:r>
              <w:rPr>
                <w:color w:val="24352D"/>
                <w:sz w:val="18"/>
                <w:szCs w:val="18"/>
              </w:rPr>
              <w:t xml:space="preserve">Nom affiché dans la configuration</w:t>
            </w:r>
          </w:p>
        </w:tc>
        <w:tc>
          <w:tcPr>
            <w:tcW w:w="3100" w:type="dxa"/>
            <w:shd w:fill="F3F6F2" w:val="clear"/>
            <w:tcMar>
              <w:top w:w="85" w:type="dxa"/>
              <w:left w:w="105" w:type="dxa"/>
              <w:bottom w:w="85" w:type="dxa"/>
              <w:right w:w="105" w:type="dxa"/>
            </w:tcMar>
          </w:tcPr>
          <w:p>
            <w:pPr>
              <w:spacing w:after="30" w:line="235"/>
            </w:pPr>
            <w:r>
              <w:rPr>
                <w:color w:val="24352D"/>
                <w:sz w:val="18"/>
                <w:szCs w:val="18"/>
              </w:rPr>
              <w:t xml:space="preserve">Les Plantes Sacrées d’Afrique de l’Ouest</w:t>
            </w:r>
          </w:p>
        </w:tc>
        <w:tc>
          <w:tcPr>
            <w:tcW w:w="3800" w:type="dxa"/>
            <w:shd w:fill="F3F6F2" w:val="clear"/>
            <w:tcMar>
              <w:top w:w="85" w:type="dxa"/>
              <w:left w:w="105" w:type="dxa"/>
              <w:bottom w:w="85" w:type="dxa"/>
              <w:right w:w="105" w:type="dxa"/>
            </w:tcMar>
          </w:tcPr>
          <w:p>
            <w:pPr>
              <w:spacing w:after="30" w:line="235"/>
            </w:pPr>
            <w:r>
              <w:rPr>
                <w:color w:val="24352D"/>
                <w:sz w:val="18"/>
                <w:szCs w:val="18"/>
              </w:rPr>
              <w:t xml:space="preserve">40 caractères. Le nom de la fiche Google Play est limité à 30 caractères : prévoir un titre de fiche distinct et plus court.</w:t>
            </w:r>
          </w:p>
        </w:tc>
      </w:tr>
      <w:tr>
        <w:tc>
          <w:tcPr>
            <w:tcW w:w="2100" w:type="dxa"/>
            <w:shd w:fill="FFFFFF" w:val="clear"/>
            <w:tcMar>
              <w:top w:w="85" w:type="dxa"/>
              <w:left w:w="105" w:type="dxa"/>
              <w:bottom w:w="85" w:type="dxa"/>
              <w:right w:w="105" w:type="dxa"/>
            </w:tcMar>
          </w:tcPr>
          <w:p>
            <w:pPr>
              <w:spacing w:after="30" w:line="235"/>
            </w:pPr>
            <w:r>
              <w:rPr>
                <w:color w:val="24352D"/>
                <w:sz w:val="18"/>
                <w:szCs w:val="18"/>
              </w:rPr>
              <w:t xml:space="preserve">Application ID Android</w:t>
            </w:r>
          </w:p>
        </w:tc>
        <w:tc>
          <w:tcPr>
            <w:tcW w:w="3100" w:type="dxa"/>
            <w:shd w:fill="FFFFFF" w:val="clear"/>
            <w:tcMar>
              <w:top w:w="85" w:type="dxa"/>
              <w:left w:w="105" w:type="dxa"/>
              <w:bottom w:w="85" w:type="dxa"/>
              <w:right w:w="105" w:type="dxa"/>
            </w:tcMar>
          </w:tcPr>
          <w:p>
            <w:pPr>
              <w:spacing w:after="30" w:line="235"/>
            </w:pPr>
            <w:r>
              <w:rPr>
                <w:color w:val="24352D"/>
                <w:sz w:val="18"/>
                <w:szCs w:val="18"/>
              </w:rPr>
              <w:t xml:space="preserve">com.sotyssi.plantessacrees</w:t>
            </w:r>
          </w:p>
        </w:tc>
        <w:tc>
          <w:tcPr>
            <w:tcW w:w="3800" w:type="dxa"/>
            <w:shd w:fill="FFFFFF" w:val="clear"/>
            <w:tcMar>
              <w:top w:w="85" w:type="dxa"/>
              <w:left w:w="105" w:type="dxa"/>
              <w:bottom w:w="85" w:type="dxa"/>
              <w:right w:w="105" w:type="dxa"/>
            </w:tcMar>
          </w:tcPr>
          <w:p>
            <w:pPr>
              <w:spacing w:after="30" w:line="235"/>
            </w:pPr>
            <w:r>
              <w:rPr>
                <w:color w:val="24352D"/>
                <w:sz w:val="18"/>
                <w:szCs w:val="18"/>
              </w:rPr>
              <w:t xml:space="preserve">Identifiant à conserver pour cette app.</w:t>
            </w:r>
          </w:p>
        </w:tc>
      </w:tr>
      <w:tr>
        <w:tc>
          <w:tcPr>
            <w:tcW w:w="2100" w:type="dxa"/>
            <w:shd w:fill="F3F6F2" w:val="clear"/>
            <w:tcMar>
              <w:top w:w="85" w:type="dxa"/>
              <w:left w:w="105" w:type="dxa"/>
              <w:bottom w:w="85" w:type="dxa"/>
              <w:right w:w="105" w:type="dxa"/>
            </w:tcMar>
          </w:tcPr>
          <w:p>
            <w:pPr>
              <w:spacing w:after="30" w:line="235"/>
            </w:pPr>
            <w:r>
              <w:rPr>
                <w:color w:val="24352D"/>
                <w:sz w:val="18"/>
                <w:szCs w:val="18"/>
              </w:rPr>
              <w:t xml:space="preserve">Version / code de version</w:t>
            </w:r>
          </w:p>
        </w:tc>
        <w:tc>
          <w:tcPr>
            <w:tcW w:w="3100" w:type="dxa"/>
            <w:shd w:fill="F3F6F2" w:val="clear"/>
            <w:tcMar>
              <w:top w:w="85" w:type="dxa"/>
              <w:left w:w="105" w:type="dxa"/>
              <w:bottom w:w="85" w:type="dxa"/>
              <w:right w:w="105" w:type="dxa"/>
            </w:tcMar>
          </w:tcPr>
          <w:p>
            <w:pPr>
              <w:spacing w:after="30" w:line="235"/>
            </w:pPr>
            <w:r>
              <w:rPr>
                <w:color w:val="24352D"/>
                <w:sz w:val="18"/>
                <w:szCs w:val="18"/>
              </w:rPr>
              <w:t xml:space="preserve">1.0.0 / 4</w:t>
            </w:r>
          </w:p>
        </w:tc>
        <w:tc>
          <w:tcPr>
            <w:tcW w:w="3800" w:type="dxa"/>
            <w:shd w:fill="F3F6F2" w:val="clear"/>
            <w:tcMar>
              <w:top w:w="85" w:type="dxa"/>
              <w:left w:w="105" w:type="dxa"/>
              <w:bottom w:w="85" w:type="dxa"/>
              <w:right w:w="105" w:type="dxa"/>
            </w:tcMar>
          </w:tcPr>
          <w:p>
            <w:pPr>
              <w:spacing w:after="30" w:line="235"/>
            </w:pPr>
            <w:r>
              <w:rPr>
                <w:color w:val="24352D"/>
                <w:sz w:val="18"/>
                <w:szCs w:val="18"/>
              </w:rPr>
              <w:t xml:space="preserve">Toute mise à jour publiée doit utiliser un code de version supérieur.</w:t>
            </w:r>
          </w:p>
        </w:tc>
      </w:tr>
      <w:tr>
        <w:tc>
          <w:tcPr>
            <w:tcW w:w="2100" w:type="dxa"/>
            <w:shd w:fill="FFFFFF" w:val="clear"/>
            <w:tcMar>
              <w:top w:w="85" w:type="dxa"/>
              <w:left w:w="105" w:type="dxa"/>
              <w:bottom w:w="85" w:type="dxa"/>
              <w:right w:w="105" w:type="dxa"/>
            </w:tcMar>
          </w:tcPr>
          <w:p>
            <w:pPr>
              <w:spacing w:after="30" w:line="235"/>
            </w:pPr>
            <w:r>
              <w:rPr>
                <w:color w:val="24352D"/>
                <w:sz w:val="18"/>
                <w:szCs w:val="18"/>
              </w:rPr>
              <w:t xml:space="preserve">Cible Android</w:t>
            </w:r>
          </w:p>
        </w:tc>
        <w:tc>
          <w:tcPr>
            <w:tcW w:w="3100" w:type="dxa"/>
            <w:shd w:fill="FFFFFF" w:val="clear"/>
            <w:tcMar>
              <w:top w:w="85" w:type="dxa"/>
              <w:left w:w="105" w:type="dxa"/>
              <w:bottom w:w="85" w:type="dxa"/>
              <w:right w:w="105" w:type="dxa"/>
            </w:tcMar>
          </w:tcPr>
          <w:p>
            <w:pPr>
              <w:spacing w:after="30" w:line="235"/>
            </w:pPr>
            <w:r>
              <w:rPr>
                <w:color w:val="24352D"/>
                <w:sz w:val="18"/>
                <w:szCs w:val="18"/>
              </w:rPr>
              <w:t xml:space="preserve">Non confirmée dans l’AAB</w:t>
            </w:r>
          </w:p>
        </w:tc>
        <w:tc>
          <w:tcPr>
            <w:tcW w:w="3800" w:type="dxa"/>
            <w:shd w:fill="FFFFFF" w:val="clear"/>
            <w:tcMar>
              <w:top w:w="85" w:type="dxa"/>
              <w:left w:w="105" w:type="dxa"/>
              <w:bottom w:w="85" w:type="dxa"/>
              <w:right w:w="105" w:type="dxa"/>
            </w:tcMar>
          </w:tcPr>
          <w:p>
            <w:pPr>
              <w:spacing w:after="30" w:line="235"/>
            </w:pPr>
            <w:r>
              <w:rPr>
                <w:color w:val="24352D"/>
                <w:sz w:val="18"/>
                <w:szCs w:val="18"/>
              </w:rPr>
              <w:t xml:space="preserve">Le fichier Gradle reprend une valeur Expo calculée. Vérifier le targetSdkVersion du bundle final.</w:t>
            </w:r>
          </w:p>
        </w:tc>
      </w:tr>
      <w:tr>
        <w:tc>
          <w:tcPr>
            <w:tcW w:w="2100" w:type="dxa"/>
            <w:shd w:fill="F3F6F2" w:val="clear"/>
            <w:tcMar>
              <w:top w:w="85" w:type="dxa"/>
              <w:left w:w="105" w:type="dxa"/>
              <w:bottom w:w="85" w:type="dxa"/>
              <w:right w:w="105" w:type="dxa"/>
            </w:tcMar>
          </w:tcPr>
          <w:p>
            <w:pPr>
              <w:spacing w:after="30" w:line="235"/>
            </w:pPr>
            <w:r>
              <w:rPr>
                <w:color w:val="24352D"/>
                <w:sz w:val="18"/>
                <w:szCs w:val="18"/>
              </w:rPr>
              <w:t xml:space="preserve">Icône observée</w:t>
            </w:r>
          </w:p>
        </w:tc>
        <w:tc>
          <w:tcPr>
            <w:tcW w:w="3100" w:type="dxa"/>
            <w:shd w:fill="F3F6F2" w:val="clear"/>
            <w:tcMar>
              <w:top w:w="85" w:type="dxa"/>
              <w:left w:w="105" w:type="dxa"/>
              <w:bottom w:w="85" w:type="dxa"/>
              <w:right w:w="105" w:type="dxa"/>
            </w:tcMar>
          </w:tcPr>
          <w:p>
            <w:pPr>
              <w:spacing w:after="30" w:line="235"/>
            </w:pPr>
            <w:r>
              <w:rPr>
                <w:color w:val="24352D"/>
                <w:sz w:val="18"/>
                <w:szCs w:val="18"/>
              </w:rPr>
              <w:t xml:space="preserve">PNG 1254 × 1254</w:t>
            </w:r>
          </w:p>
        </w:tc>
        <w:tc>
          <w:tcPr>
            <w:tcW w:w="3800" w:type="dxa"/>
            <w:shd w:fill="F3F6F2" w:val="clear"/>
            <w:tcMar>
              <w:top w:w="85" w:type="dxa"/>
              <w:left w:w="105" w:type="dxa"/>
              <w:bottom w:w="85" w:type="dxa"/>
              <w:right w:w="105" w:type="dxa"/>
            </w:tcMar>
          </w:tcPr>
          <w:p>
            <w:pPr>
              <w:spacing w:after="30" w:line="235"/>
            </w:pPr>
            <w:r>
              <w:rPr>
                <w:color w:val="24352D"/>
                <w:sz w:val="18"/>
                <w:szCs w:val="18"/>
              </w:rPr>
              <w:t xml:space="preserve">Fichier source disponible dans le projet; préparer les ressources de fiche aux formats demandés par la Console.</w:t>
            </w:r>
          </w:p>
        </w:tc>
      </w:tr>
      <w:tr>
        <w:tc>
          <w:tcPr>
            <w:tcW w:w="2100" w:type="dxa"/>
            <w:shd w:fill="FFFFFF" w:val="clear"/>
            <w:tcMar>
              <w:top w:w="85" w:type="dxa"/>
              <w:left w:w="105" w:type="dxa"/>
              <w:bottom w:w="85" w:type="dxa"/>
              <w:right w:w="105" w:type="dxa"/>
            </w:tcMar>
          </w:tcPr>
          <w:p>
            <w:pPr>
              <w:spacing w:after="30" w:line="235"/>
            </w:pPr>
            <w:r>
              <w:rPr>
                <w:color w:val="24352D"/>
                <w:sz w:val="18"/>
                <w:szCs w:val="18"/>
              </w:rPr>
              <w:t xml:space="preserve">Compte utilisateur</w:t>
            </w:r>
          </w:p>
        </w:tc>
        <w:tc>
          <w:tcPr>
            <w:tcW w:w="3100" w:type="dxa"/>
            <w:shd w:fill="FFFFFF" w:val="clear"/>
            <w:tcMar>
              <w:top w:w="85" w:type="dxa"/>
              <w:left w:w="105" w:type="dxa"/>
              <w:bottom w:w="85" w:type="dxa"/>
              <w:right w:w="105" w:type="dxa"/>
            </w:tcMar>
          </w:tcPr>
          <w:p>
            <w:pPr>
              <w:spacing w:after="30" w:line="235"/>
            </w:pPr>
            <w:r>
              <w:rPr>
                <w:color w:val="24352D"/>
                <w:sz w:val="18"/>
                <w:szCs w:val="18"/>
              </w:rPr>
              <w:t xml:space="preserve">Inscription nom d’utilisateur + mot de passe</w:t>
            </w:r>
          </w:p>
        </w:tc>
        <w:tc>
          <w:tcPr>
            <w:tcW w:w="3800" w:type="dxa"/>
            <w:shd w:fill="FFFFFF" w:val="clear"/>
            <w:tcMar>
              <w:top w:w="85" w:type="dxa"/>
              <w:left w:w="105" w:type="dxa"/>
              <w:bottom w:w="85" w:type="dxa"/>
              <w:right w:w="105" w:type="dxa"/>
            </w:tcMar>
          </w:tcPr>
          <w:p>
            <w:pPr>
              <w:spacing w:after="30" w:line="235"/>
            </w:pPr>
            <w:r>
              <w:rPr>
                <w:color w:val="24352D"/>
                <w:sz w:val="18"/>
                <w:szCs w:val="18"/>
              </w:rPr>
              <w:t xml:space="preserve">Le formulaire d’inscription n’exige pas d’adresse e-mail.</w:t>
            </w:r>
          </w:p>
        </w:tc>
      </w:tr>
      <w:tr>
        <w:tc>
          <w:tcPr>
            <w:tcW w:w="2100" w:type="dxa"/>
            <w:shd w:fill="F3F6F2" w:val="clear"/>
            <w:tcMar>
              <w:top w:w="85" w:type="dxa"/>
              <w:left w:w="105" w:type="dxa"/>
              <w:bottom w:w="85" w:type="dxa"/>
              <w:right w:w="105" w:type="dxa"/>
            </w:tcMar>
          </w:tcPr>
          <w:p>
            <w:pPr>
              <w:spacing w:after="30" w:line="235"/>
            </w:pPr>
            <w:r>
              <w:rPr>
                <w:color w:val="24352D"/>
                <w:sz w:val="18"/>
                <w:szCs w:val="18"/>
              </w:rPr>
              <w:t xml:space="preserve">Abonnement</w:t>
            </w:r>
          </w:p>
        </w:tc>
        <w:tc>
          <w:tcPr>
            <w:tcW w:w="3100" w:type="dxa"/>
            <w:shd w:fill="F3F6F2" w:val="clear"/>
            <w:tcMar>
              <w:top w:w="85" w:type="dxa"/>
              <w:left w:w="105" w:type="dxa"/>
              <w:bottom w:w="85" w:type="dxa"/>
              <w:right w:w="105" w:type="dxa"/>
            </w:tcMar>
          </w:tcPr>
          <w:p>
            <w:pPr>
              <w:spacing w:after="30" w:line="235"/>
            </w:pPr>
            <w:r>
              <w:rPr>
                <w:color w:val="24352D"/>
                <w:sz w:val="18"/>
                <w:szCs w:val="18"/>
              </w:rPr>
              <w:t xml:space="preserve">Formules mensuelle et annuelle; checkout SAS Pay</w:t>
            </w:r>
          </w:p>
        </w:tc>
        <w:tc>
          <w:tcPr>
            <w:tcW w:w="3800" w:type="dxa"/>
            <w:shd w:fill="F3F6F2" w:val="clear"/>
            <w:tcMar>
              <w:top w:w="85" w:type="dxa"/>
              <w:left w:w="105" w:type="dxa"/>
              <w:bottom w:w="85" w:type="dxa"/>
              <w:right w:w="105" w:type="dxa"/>
            </w:tcMar>
          </w:tcPr>
          <w:p>
            <w:pPr>
              <w:spacing w:after="30" w:line="235"/>
            </w:pPr>
            <w:r>
              <w:rPr>
                <w:color w:val="24352D"/>
                <w:sz w:val="18"/>
                <w:szCs w:val="18"/>
              </w:rPr>
              <w:t xml:space="preserve">Le formulaire demande nom et e-mail et ouvre une page de paiement hébergée.</w:t>
            </w:r>
          </w:p>
        </w:tc>
      </w:tr>
    </w:tbl>
    <w:p>
      <w:pPr>
        <w:pStyle w:val="Heading2"/>
        <w:spacing w:before="100" w:after="140" w:line="276" w:lineRule="auto"/>
        <w:keepNext/>
      </w:pPr>
      <w:r>
        <w:t xml:space="preserve">Éléments à ne pas considérer comme vérifiés</w:t>
      </w:r>
    </w:p>
    <w:p>
      <w:pPr>
        <w:pStyle w:val="ListParagraph"/>
        <w:numPr>
          <w:ilvl w:val="0"/>
          <w:numId w:val="1"/>
        </w:numPr>
        <w:spacing w:after="75" w:line="260"/>
      </w:pPr>
      <w:r>
        <w:t xml:space="preserve">Le target SDK final, le résultat des vérifications Play Console et l’état de l’AAB signé.</w:t>
      </w:r>
    </w:p>
    <w:p>
      <w:pPr>
        <w:pStyle w:val="ListParagraph"/>
        <w:numPr>
          <w:ilvl w:val="0"/>
          <w:numId w:val="1"/>
        </w:numPr>
        <w:spacing w:after="75" w:line="260"/>
      </w:pPr>
      <w:r>
        <w:t xml:space="preserve">La collecte complète déclarable dans Data safety : elle doit couvrir le comportement réel, les SDK et les prestataires, pas seulement les appels visibles dans le code applicatif.</w:t>
      </w:r>
    </w:p>
    <w:p>
      <w:pPr>
        <w:pStyle w:val="ListParagraph"/>
        <w:numPr>
          <w:ilvl w:val="0"/>
          <w:numId w:val="1"/>
        </w:numPr>
        <w:spacing w:after="75" w:line="260"/>
      </w:pPr>
      <w:r>
        <w:t xml:space="preserve">Le statut du compte développeur, son type (personnel ou organisation), sa date de création et son éligibilité aux tests de production.</w:t>
      </w:r>
    </w:p>
    <w:p>
      <w:pPr>
        <w:pStyle w:val="ListParagraph"/>
        <w:numPr>
          <w:ilvl w:val="0"/>
          <w:numId w:val="1"/>
        </w:numPr>
        <w:spacing w:after="75" w:line="260"/>
      </w:pPr>
      <w:r>
        <w:t xml:space="preserve">La disponibilité publique, les pays, les prix, l’identité de l’éditeur et les textes finaux de la fiche.</w:t>
      </w:r>
    </w:p>
    <w:p>
      <w:pPr>
        <w:pStyle w:val="Heading2"/>
        <w:spacing w:before="100" w:after="140" w:line="276" w:lineRule="auto"/>
        <w:keepNext/>
      </w:pPr>
      <w:r>
        <w:t xml:space="preserve">Titre de fiche à choisir</w:t>
      </w:r>
    </w:p>
    <w:p>
      <w:pPr>
        <w:spacing w:before="0" w:after="70" w:line="276" w:lineRule="auto"/>
      </w:pPr>
      <w:r>
        <w:t xml:space="preserve">Le nom complet actuel dépasse la limite de titre de fiche (30 caractères). Renseigner ici un titre court qui conserve le nom de marque et reflète fidèlement l’app :</w:t>
      </w:r>
    </w:p>
    <w:p>
      <w:pPr>
        <w:spacing w:before="0" w:after="80" w:line="276" w:lineRule="auto"/>
      </w:pPr>
      <w:r>
        <w:rPr>
          <w:color w:val="53635A"/>
        </w:rPr>
        <w:t xml:space="preserve">Titre retenu : ______________________________________________________________</w:t>
      </w:r>
    </w:p>
    <w:p>
      <w:r>
        <w:br w:type="page"/>
      </w:r>
    </w:p>
    <w:p>
      <w:pPr>
        <w:pStyle w:val="Heading1"/>
        <w:spacing w:before="150" w:after="140" w:line="276" w:lineRule="auto"/>
        <w:keepNext/>
      </w:pPr>
      <w:r>
        <w:t xml:space="preserve">2. Blocages et prérequis avant soumission</w:t>
      </w:r>
    </w:p>
    <w:p>
      <w:pPr>
        <w:spacing w:before="0" w:after="120" w:line="276" w:lineRule="auto"/>
      </w:pPr>
      <w:r>
        <w:t xml:space="preserve">Traiter les points bloquants ci-dessous avant de demander l’examen de la version. Les exceptions de politique ne doivent être retenues qu’après confirmation de leur applicabilité au compte, au pays et au modèle de vente.</w:t>
      </w:r>
    </w:p>
    <w:tbl>
      <w:tblPr>
        <w:tblW w:w="0" w:type="auto"/>
        <w:tblLayout w:type="fixed"/>
        <w:tblBorders>
          <w:top w:val="single" w:sz="5" w:color="D8DFD7"/>
          <w:left w:val="single" w:sz="5" w:color="D8DFD7"/>
          <w:bottom w:val="single" w:sz="5" w:color="D8DFD7"/>
          <w:right w:val="single" w:sz="5" w:color="D8DFD7"/>
          <w:insideH w:val="single" w:sz="4" w:color="E1E6E0"/>
          <w:insideV w:val="single" w:sz="4" w:color="E1E6E0"/>
        </w:tblBorders>
        <w:tblCellMar>
          <w:top w:w="65" w:type="dxa"/>
          <w:left w:w="75" w:type="dxa"/>
          <w:bottom w:w="65" w:type="dxa"/>
          <w:right w:w="75" w:type="dxa"/>
        </w:tblCellMar>
      </w:tblPr>
      <w:tblGrid>
        <w:gridCol w:w="1500"/>
        <w:gridCol w:w="2850"/>
        <w:gridCol w:w="4650"/>
      </w:tblGrid>
      <w:tr>
        <w:tc>
          <w:tcPr>
            <w:tcW w:w="1500" w:type="dxa"/>
            <w:shd w:fill="183C31" w:val="clear"/>
            <w:tcMar>
              <w:top w:w="85" w:type="dxa"/>
              <w:left w:w="105" w:type="dxa"/>
              <w:bottom w:w="85" w:type="dxa"/>
              <w:right w:w="105" w:type="dxa"/>
            </w:tcMar>
          </w:tcPr>
          <w:p>
            <w:pPr>
              <w:spacing w:after="30" w:line="235"/>
            </w:pPr>
            <w:r>
              <w:rPr>
                <w:b/>
                <w:color w:val="FFFFFF"/>
                <w:sz w:val="19"/>
                <w:szCs w:val="19"/>
              </w:rPr>
              <w:t xml:space="preserve">Priorité</w:t>
            </w:r>
          </w:p>
        </w:tc>
        <w:tc>
          <w:tcPr>
            <w:tcW w:w="2850" w:type="dxa"/>
            <w:shd w:fill="183C31" w:val="clear"/>
            <w:tcMar>
              <w:top w:w="85" w:type="dxa"/>
              <w:left w:w="105" w:type="dxa"/>
              <w:bottom w:w="85" w:type="dxa"/>
              <w:right w:w="105" w:type="dxa"/>
            </w:tcMar>
          </w:tcPr>
          <w:p>
            <w:pPr>
              <w:spacing w:after="30" w:line="235"/>
            </w:pPr>
            <w:r>
              <w:rPr>
                <w:b/>
                <w:color w:val="FFFFFF"/>
                <w:sz w:val="19"/>
                <w:szCs w:val="19"/>
              </w:rPr>
              <w:t xml:space="preserve">Point à résoudre</w:t>
            </w:r>
          </w:p>
        </w:tc>
        <w:tc>
          <w:tcPr>
            <w:tcW w:w="4650" w:type="dxa"/>
            <w:shd w:fill="183C31" w:val="clear"/>
            <w:tcMar>
              <w:top w:w="85" w:type="dxa"/>
              <w:left w:w="105" w:type="dxa"/>
              <w:bottom w:w="85" w:type="dxa"/>
              <w:right w:w="105" w:type="dxa"/>
            </w:tcMar>
          </w:tcPr>
          <w:p>
            <w:pPr>
              <w:spacing w:after="30" w:line="235"/>
            </w:pPr>
            <w:r>
              <w:rPr>
                <w:b/>
                <w:color w:val="FFFFFF"/>
                <w:sz w:val="19"/>
                <w:szCs w:val="19"/>
              </w:rPr>
              <w:t xml:space="preserve">Action de préparation</w:t>
            </w:r>
          </w:p>
        </w:tc>
      </w:tr>
      <w:tr>
        <w:tc>
          <w:tcPr>
            <w:tcW w:w="1500" w:type="dxa"/>
            <w:shd w:fill="F3F6F2" w:val="clear"/>
            <w:tcMar>
              <w:top w:w="85" w:type="dxa"/>
              <w:left w:w="105" w:type="dxa"/>
              <w:bottom w:w="85" w:type="dxa"/>
              <w:right w:w="105" w:type="dxa"/>
            </w:tcMar>
          </w:tcPr>
          <w:p>
            <w:pPr>
              <w:spacing w:after="30" w:line="235"/>
            </w:pPr>
            <w:r>
              <w:rPr>
                <w:color w:val="24352D"/>
                <w:sz w:val="18"/>
                <w:szCs w:val="18"/>
              </w:rPr>
              <w:t xml:space="preserve">BLOQUANT</w:t>
            </w:r>
          </w:p>
        </w:tc>
        <w:tc>
          <w:tcPr>
            <w:tcW w:w="2850" w:type="dxa"/>
            <w:shd w:fill="F3F6F2" w:val="clear"/>
            <w:tcMar>
              <w:top w:w="85" w:type="dxa"/>
              <w:left w:w="105" w:type="dxa"/>
              <w:bottom w:w="85" w:type="dxa"/>
              <w:right w:w="105" w:type="dxa"/>
            </w:tcMar>
          </w:tcPr>
          <w:p>
            <w:pPr>
              <w:spacing w:after="30" w:line="235"/>
            </w:pPr>
            <w:r>
              <w:rPr>
                <w:color w:val="24352D"/>
                <w:sz w:val="18"/>
                <w:szCs w:val="18"/>
              </w:rPr>
              <w:t xml:space="preserve">Politique de confidentialité absente dans le périmètre inspecté</w:t>
            </w:r>
          </w:p>
        </w:tc>
        <w:tc>
          <w:tcPr>
            <w:tcW w:w="4650" w:type="dxa"/>
            <w:shd w:fill="F3F6F2" w:val="clear"/>
            <w:tcMar>
              <w:top w:w="85" w:type="dxa"/>
              <w:left w:w="105" w:type="dxa"/>
              <w:bottom w:w="85" w:type="dxa"/>
              <w:right w:w="105" w:type="dxa"/>
            </w:tcMar>
          </w:tcPr>
          <w:p>
            <w:pPr>
              <w:spacing w:after="30" w:line="235"/>
            </w:pPr>
            <w:r>
              <w:rPr>
                <w:color w:val="24352D"/>
                <w:sz w:val="18"/>
                <w:szCs w:val="18"/>
              </w:rPr>
              <w:t xml:space="preserve">Créer et publier une page web accessible sans connexion; décrire données, usages, partages, sécurité, conservation, suppression et contact. Enregistrer l’URL dans Play Console et dans l’application lorsque requis.</w:t>
            </w:r>
          </w:p>
        </w:tc>
      </w:tr>
      <w:tr>
        <w:tc>
          <w:tcPr>
            <w:tcW w:w="1500" w:type="dxa"/>
            <w:shd w:fill="FFFFFF" w:val="clear"/>
            <w:tcMar>
              <w:top w:w="85" w:type="dxa"/>
              <w:left w:w="105" w:type="dxa"/>
              <w:bottom w:w="85" w:type="dxa"/>
              <w:right w:w="105" w:type="dxa"/>
            </w:tcMar>
          </w:tcPr>
          <w:p>
            <w:pPr>
              <w:spacing w:after="30" w:line="235"/>
            </w:pPr>
            <w:r>
              <w:rPr>
                <w:color w:val="24352D"/>
                <w:sz w:val="18"/>
                <w:szCs w:val="18"/>
              </w:rPr>
              <w:t xml:space="preserve">BLOQUANT</w:t>
            </w:r>
          </w:p>
        </w:tc>
        <w:tc>
          <w:tcPr>
            <w:tcW w:w="2850" w:type="dxa"/>
            <w:shd w:fill="FFFFFF" w:val="clear"/>
            <w:tcMar>
              <w:top w:w="85" w:type="dxa"/>
              <w:left w:w="105" w:type="dxa"/>
              <w:bottom w:w="85" w:type="dxa"/>
              <w:right w:w="105" w:type="dxa"/>
            </w:tcMar>
          </w:tcPr>
          <w:p>
            <w:pPr>
              <w:spacing w:after="30" w:line="235"/>
            </w:pPr>
            <w:r>
              <w:rPr>
                <w:color w:val="24352D"/>
                <w:sz w:val="18"/>
                <w:szCs w:val="18"/>
              </w:rPr>
              <w:t xml:space="preserve">Suppression de compte non repérée</w:t>
            </w:r>
          </w:p>
        </w:tc>
        <w:tc>
          <w:tcPr>
            <w:tcW w:w="4650" w:type="dxa"/>
            <w:shd w:fill="FFFFFF" w:val="clear"/>
            <w:tcMar>
              <w:top w:w="85" w:type="dxa"/>
              <w:left w:w="105" w:type="dxa"/>
              <w:bottom w:w="85" w:type="dxa"/>
              <w:right w:w="105" w:type="dxa"/>
            </w:tcMar>
          </w:tcPr>
          <w:p>
            <w:pPr>
              <w:spacing w:after="30" w:line="235"/>
            </w:pPr>
            <w:r>
              <w:rPr>
                <w:color w:val="24352D"/>
                <w:sz w:val="18"/>
                <w:szCs w:val="18"/>
              </w:rPr>
              <w:t xml:space="preserve">L’application permet de créer un compte. Mettre en place un parcours de demande de suppression dans l’app et une ressource web accessible permettant de demander la suppression; définir le traitement des données associées et des abonnements.</w:t>
            </w:r>
          </w:p>
        </w:tc>
      </w:tr>
      <w:tr>
        <w:tc>
          <w:tcPr>
            <w:tcW w:w="1500" w:type="dxa"/>
            <w:shd w:fill="F3F6F2" w:val="clear"/>
            <w:tcMar>
              <w:top w:w="85" w:type="dxa"/>
              <w:left w:w="105" w:type="dxa"/>
              <w:bottom w:w="85" w:type="dxa"/>
              <w:right w:w="105" w:type="dxa"/>
            </w:tcMar>
          </w:tcPr>
          <w:p>
            <w:pPr>
              <w:spacing w:after="30" w:line="235"/>
            </w:pPr>
            <w:r>
              <w:rPr>
                <w:color w:val="24352D"/>
                <w:sz w:val="18"/>
                <w:szCs w:val="18"/>
              </w:rPr>
              <w:t xml:space="preserve">BLOQUANT / À CONFIRMER</w:t>
            </w:r>
          </w:p>
        </w:tc>
        <w:tc>
          <w:tcPr>
            <w:tcW w:w="2850" w:type="dxa"/>
            <w:shd w:fill="F3F6F2" w:val="clear"/>
            <w:tcMar>
              <w:top w:w="85" w:type="dxa"/>
              <w:left w:w="105" w:type="dxa"/>
              <w:bottom w:w="85" w:type="dxa"/>
              <w:right w:w="105" w:type="dxa"/>
            </w:tcMar>
          </w:tcPr>
          <w:p>
            <w:pPr>
              <w:spacing w:after="30" w:line="235"/>
            </w:pPr>
            <w:r>
              <w:rPr>
                <w:color w:val="24352D"/>
                <w:sz w:val="18"/>
                <w:szCs w:val="18"/>
              </w:rPr>
              <w:t xml:space="preserve">SAS Pay et achats numériques</w:t>
            </w:r>
          </w:p>
        </w:tc>
        <w:tc>
          <w:tcPr>
            <w:tcW w:w="4650" w:type="dxa"/>
            <w:shd w:fill="F3F6F2" w:val="clear"/>
            <w:tcMar>
              <w:top w:w="85" w:type="dxa"/>
              <w:left w:w="105" w:type="dxa"/>
              <w:bottom w:w="85" w:type="dxa"/>
              <w:right w:w="105" w:type="dxa"/>
            </w:tcMar>
          </w:tcPr>
          <w:p>
            <w:pPr>
              <w:spacing w:after="30" w:line="235"/>
            </w:pPr>
            <w:r>
              <w:rPr>
                <w:color w:val="24352D"/>
                <w:sz w:val="18"/>
                <w:szCs w:val="18"/>
              </w:rPr>
              <w:t xml:space="preserve">L’app propose un abonnement avec checkout externe. Déterminer si le paiement débloque du contenu ou des fonctionnalités numériques consommés dans l’app. Par défaut, Google Play Billing s’applique, sauf exception ou programme explicitement applicable. Documenter la décision; sinon intégrer Play Billing.</w:t>
            </w:r>
          </w:p>
        </w:tc>
      </w:tr>
      <w:tr>
        <w:tc>
          <w:tcPr>
            <w:tcW w:w="1500" w:type="dxa"/>
            <w:shd w:fill="FFFFFF" w:val="clear"/>
            <w:tcMar>
              <w:top w:w="85" w:type="dxa"/>
              <w:left w:w="105" w:type="dxa"/>
              <w:bottom w:w="85" w:type="dxa"/>
              <w:right w:w="105" w:type="dxa"/>
            </w:tcMar>
          </w:tcPr>
          <w:p>
            <w:pPr>
              <w:spacing w:after="30" w:line="235"/>
            </w:pPr>
            <w:r>
              <w:rPr>
                <w:color w:val="24352D"/>
                <w:sz w:val="18"/>
                <w:szCs w:val="18"/>
              </w:rPr>
              <w:t xml:space="preserve">BLOQUANT</w:t>
            </w:r>
          </w:p>
        </w:tc>
        <w:tc>
          <w:tcPr>
            <w:tcW w:w="2850" w:type="dxa"/>
            <w:shd w:fill="FFFFFF" w:val="clear"/>
            <w:tcMar>
              <w:top w:w="85" w:type="dxa"/>
              <w:left w:w="105" w:type="dxa"/>
              <w:bottom w:w="85" w:type="dxa"/>
              <w:right w:w="105" w:type="dxa"/>
            </w:tcMar>
          </w:tcPr>
          <w:p>
            <w:pPr>
              <w:spacing w:after="30" w:line="235"/>
            </w:pPr>
            <w:r>
              <w:rPr>
                <w:color w:val="24352D"/>
                <w:sz w:val="18"/>
                <w:szCs w:val="18"/>
              </w:rPr>
              <w:t xml:space="preserve">Cible API Android</w:t>
            </w:r>
          </w:p>
        </w:tc>
        <w:tc>
          <w:tcPr>
            <w:tcW w:w="4650" w:type="dxa"/>
            <w:shd w:fill="FFFFFF" w:val="clear"/>
            <w:tcMar>
              <w:top w:w="85" w:type="dxa"/>
              <w:left w:w="105" w:type="dxa"/>
              <w:bottom w:w="85" w:type="dxa"/>
              <w:right w:w="105" w:type="dxa"/>
            </w:tcMar>
          </w:tcPr>
          <w:p>
            <w:pPr>
              <w:spacing w:after="30" w:line="235"/>
            </w:pPr>
            <w:r>
              <w:rPr>
                <w:color w:val="24352D"/>
                <w:sz w:val="18"/>
                <w:szCs w:val="18"/>
              </w:rPr>
              <w:t xml:space="preserve">Depuis le 31 août 2026, les nouvelles applications et mises à jour doivent cibler Android 16 / API 36 ou ultérieur, sous réserve des exceptions Google. Confirmer le target API de l’AAB réellement produit.</w:t>
            </w:r>
          </w:p>
        </w:tc>
      </w:tr>
      <w:tr>
        <w:tc>
          <w:tcPr>
            <w:tcW w:w="1500" w:type="dxa"/>
            <w:shd w:fill="F3F6F2" w:val="clear"/>
            <w:tcMar>
              <w:top w:w="85" w:type="dxa"/>
              <w:left w:w="105" w:type="dxa"/>
              <w:bottom w:w="85" w:type="dxa"/>
              <w:right w:w="105" w:type="dxa"/>
            </w:tcMar>
          </w:tcPr>
          <w:p>
            <w:pPr>
              <w:spacing w:after="30" w:line="235"/>
            </w:pPr>
            <w:r>
              <w:rPr>
                <w:color w:val="24352D"/>
                <w:sz w:val="18"/>
                <w:szCs w:val="18"/>
              </w:rPr>
              <w:t xml:space="preserve">BLOQUANT</w:t>
            </w:r>
          </w:p>
        </w:tc>
        <w:tc>
          <w:tcPr>
            <w:tcW w:w="2850" w:type="dxa"/>
            <w:shd w:fill="F3F6F2" w:val="clear"/>
            <w:tcMar>
              <w:top w:w="85" w:type="dxa"/>
              <w:left w:w="105" w:type="dxa"/>
              <w:bottom w:w="85" w:type="dxa"/>
              <w:right w:w="105" w:type="dxa"/>
            </w:tcMar>
          </w:tcPr>
          <w:p>
            <w:pPr>
              <w:spacing w:after="30" w:line="235"/>
            </w:pPr>
            <w:r>
              <w:rPr>
                <w:color w:val="24352D"/>
                <w:sz w:val="18"/>
                <w:szCs w:val="18"/>
              </w:rPr>
              <w:t xml:space="preserve">Signature de l’AAB</w:t>
            </w:r>
          </w:p>
        </w:tc>
        <w:tc>
          <w:tcPr>
            <w:tcW w:w="4650" w:type="dxa"/>
            <w:shd w:fill="F3F6F2" w:val="clear"/>
            <w:tcMar>
              <w:top w:w="85" w:type="dxa"/>
              <w:left w:w="105" w:type="dxa"/>
              <w:bottom w:w="85" w:type="dxa"/>
              <w:right w:w="105" w:type="dxa"/>
            </w:tcMar>
          </w:tcPr>
          <w:p>
            <w:pPr>
              <w:spacing w:after="30" w:line="235"/>
            </w:pPr>
            <w:r>
              <w:rPr>
                <w:color w:val="24352D"/>
                <w:sz w:val="18"/>
                <w:szCs w:val="18"/>
              </w:rPr>
              <w:t xml:space="preserve">Le fichier attendu .keys/play-upload-key.jks est absent du workspace. Confirmer qu’une clé de téléversement valide et la procédure de signature existent; ne jamais stocker la clé ou son mot de passe dans ce guide.</w:t>
            </w:r>
          </w:p>
        </w:tc>
      </w:tr>
      <w:tr>
        <w:tc>
          <w:tcPr>
            <w:tcW w:w="1500" w:type="dxa"/>
            <w:shd w:fill="FFFFFF" w:val="clear"/>
            <w:tcMar>
              <w:top w:w="85" w:type="dxa"/>
              <w:left w:w="105" w:type="dxa"/>
              <w:bottom w:w="85" w:type="dxa"/>
              <w:right w:w="105" w:type="dxa"/>
            </w:tcMar>
          </w:tcPr>
          <w:p>
            <w:pPr>
              <w:spacing w:after="30" w:line="235"/>
            </w:pPr>
            <w:r>
              <w:rPr>
                <w:color w:val="24352D"/>
                <w:sz w:val="18"/>
                <w:szCs w:val="18"/>
              </w:rPr>
              <w:t xml:space="preserve">À COMPLÉTER</w:t>
            </w:r>
          </w:p>
        </w:tc>
        <w:tc>
          <w:tcPr>
            <w:tcW w:w="2850" w:type="dxa"/>
            <w:shd w:fill="FFFFFF" w:val="clear"/>
            <w:tcMar>
              <w:top w:w="85" w:type="dxa"/>
              <w:left w:w="105" w:type="dxa"/>
              <w:bottom w:w="85" w:type="dxa"/>
              <w:right w:w="105" w:type="dxa"/>
            </w:tcMar>
          </w:tcPr>
          <w:p>
            <w:pPr>
              <w:spacing w:after="30" w:line="235"/>
            </w:pPr>
            <w:r>
              <w:rPr>
                <w:color w:val="24352D"/>
                <w:sz w:val="18"/>
                <w:szCs w:val="18"/>
              </w:rPr>
              <w:t xml:space="preserve">Titre et contenu de la fiche</w:t>
            </w:r>
          </w:p>
        </w:tc>
        <w:tc>
          <w:tcPr>
            <w:tcW w:w="4650" w:type="dxa"/>
            <w:shd w:fill="FFFFFF" w:val="clear"/>
            <w:tcMar>
              <w:top w:w="85" w:type="dxa"/>
              <w:left w:w="105" w:type="dxa"/>
              <w:bottom w:w="85" w:type="dxa"/>
              <w:right w:w="105" w:type="dxa"/>
            </w:tcMar>
          </w:tcPr>
          <w:p>
            <w:pPr>
              <w:spacing w:after="30" w:line="235"/>
            </w:pPr>
            <w:r>
              <w:rPr>
                <w:color w:val="24352D"/>
                <w:sz w:val="18"/>
                <w:szCs w:val="18"/>
              </w:rPr>
              <w:t xml:space="preserve">Choisir un titre ≤ 30 caractères et préparer description courte, description complète, catégorie, coordonnées, pays, médias et captures d’écran selon les formats affichés par la Console.</w:t>
            </w:r>
          </w:p>
        </w:tc>
      </w:tr>
      <w:tr>
        <w:tc>
          <w:tcPr>
            <w:tcW w:w="1500" w:type="dxa"/>
            <w:shd w:fill="F3F6F2" w:val="clear"/>
            <w:tcMar>
              <w:top w:w="85" w:type="dxa"/>
              <w:left w:w="105" w:type="dxa"/>
              <w:bottom w:w="85" w:type="dxa"/>
              <w:right w:w="105" w:type="dxa"/>
            </w:tcMar>
          </w:tcPr>
          <w:p>
            <w:pPr>
              <w:spacing w:after="30" w:line="235"/>
            </w:pPr>
            <w:r>
              <w:rPr>
                <w:color w:val="24352D"/>
                <w:sz w:val="18"/>
                <w:szCs w:val="18"/>
              </w:rPr>
              <w:t xml:space="preserve">À COMPLÉTER</w:t>
            </w:r>
          </w:p>
        </w:tc>
        <w:tc>
          <w:tcPr>
            <w:tcW w:w="2850" w:type="dxa"/>
            <w:shd w:fill="F3F6F2" w:val="clear"/>
            <w:tcMar>
              <w:top w:w="85" w:type="dxa"/>
              <w:left w:w="105" w:type="dxa"/>
              <w:bottom w:w="85" w:type="dxa"/>
              <w:right w:w="105" w:type="dxa"/>
            </w:tcMar>
          </w:tcPr>
          <w:p>
            <w:pPr>
              <w:spacing w:after="30" w:line="235"/>
            </w:pPr>
            <w:r>
              <w:rPr>
                <w:color w:val="24352D"/>
                <w:sz w:val="18"/>
                <w:szCs w:val="18"/>
              </w:rPr>
              <w:t xml:space="preserve">Déclaration Data safety et formulaires</w:t>
            </w:r>
          </w:p>
        </w:tc>
        <w:tc>
          <w:tcPr>
            <w:tcW w:w="4650" w:type="dxa"/>
            <w:shd w:fill="F3F6F2" w:val="clear"/>
            <w:tcMar>
              <w:top w:w="85" w:type="dxa"/>
              <w:left w:w="105" w:type="dxa"/>
              <w:bottom w:w="85" w:type="dxa"/>
              <w:right w:w="105" w:type="dxa"/>
            </w:tcMar>
          </w:tcPr>
          <w:p>
            <w:pPr>
              <w:spacing w:after="30" w:line="235"/>
            </w:pPr>
            <w:r>
              <w:rPr>
                <w:color w:val="24352D"/>
                <w:sz w:val="18"/>
                <w:szCs w:val="18"/>
              </w:rPr>
              <w:t xml:space="preserve">Cartographier les données envoyées aux prestataires, finalités, partage, rétention et sécurité; répondre aux déclarations de contenu, public cible, publicité, classification et accès à l’app.</w:t>
            </w:r>
          </w:p>
        </w:tc>
      </w:tr>
    </w:tbl>
    <w:p>
      <w:pPr>
        <w:pStyle w:val="Heading2"/>
        <w:spacing w:before="100" w:after="140" w:line="276" w:lineRule="auto"/>
        <w:keepNext/>
      </w:pPr>
      <w:r>
        <w:t xml:space="preserve">Cible de test conditionnelle</w:t>
      </w:r>
    </w:p>
    <w:p>
      <w:pPr>
        <w:spacing w:before="0" w:after="80" w:line="276" w:lineRule="auto"/>
      </w:pPr>
      <w:r>
        <w:t xml:space="preserve">Si le compte développeur est un compte personnel créé après le 13 novembre 2023, Google exige actuellement un test fermé avec au moins 12 testeurs inscrits pendant 14 jours consécutifs avant la demande d’accès à la production. Vérifier dans Play Console si cette règle s’applique au compte; ne pas la supposer pour un compte organisationnel ou un compte hors de ce périmètre.</w:t>
      </w:r>
    </w:p>
    <w:p>
      <w:r>
        <w:br w:type="page"/>
      </w:r>
    </w:p>
    <w:p>
      <w:pPr>
        <w:pStyle w:val="Heading1"/>
        <w:spacing w:before="150" w:after="140" w:line="276" w:lineRule="auto"/>
        <w:keepNext/>
      </w:pPr>
      <w:r>
        <w:t xml:space="preserve">3. Inventaire des données à valider pour Data safety</w:t>
      </w:r>
    </w:p>
    <w:p>
      <w:pPr>
        <w:spacing w:before="0" w:after="120" w:line="276" w:lineRule="auto"/>
      </w:pPr>
      <w:r>
        <w:t xml:space="preserve">Cet inventaire est un point de départ fondé sur les parcours repérés. Le responsable de l’application doit le comparer au backend déployé, aux SDK intégrés, aux journaux, aux bases, aux politiques des prestataires et aux flux de paiement avant de soumettre la déclaration.</w:t>
      </w:r>
    </w:p>
    <w:tbl>
      <w:tblPr>
        <w:tblW w:w="0" w:type="auto"/>
        <w:tblLayout w:type="fixed"/>
        <w:tblBorders>
          <w:top w:val="single" w:sz="5" w:color="D8DFD7"/>
          <w:left w:val="single" w:sz="5" w:color="D8DFD7"/>
          <w:bottom w:val="single" w:sz="5" w:color="D8DFD7"/>
          <w:right w:val="single" w:sz="5" w:color="D8DFD7"/>
          <w:insideH w:val="single" w:sz="4" w:color="E1E6E0"/>
          <w:insideV w:val="single" w:sz="4" w:color="E1E6E0"/>
        </w:tblBorders>
        <w:tblCellMar>
          <w:top w:w="65" w:type="dxa"/>
          <w:left w:w="75" w:type="dxa"/>
          <w:bottom w:w="65" w:type="dxa"/>
          <w:right w:w="75" w:type="dxa"/>
        </w:tblCellMar>
      </w:tblPr>
      <w:tblGrid>
        <w:gridCol w:w="2200"/>
        <w:gridCol w:w="3200"/>
        <w:gridCol w:w="3600"/>
      </w:tblGrid>
      <w:tr>
        <w:tc>
          <w:tcPr>
            <w:tcW w:w="2200" w:type="dxa"/>
            <w:shd w:fill="183C31" w:val="clear"/>
            <w:tcMar>
              <w:top w:w="85" w:type="dxa"/>
              <w:left w:w="105" w:type="dxa"/>
              <w:bottom w:w="85" w:type="dxa"/>
              <w:right w:w="105" w:type="dxa"/>
            </w:tcMar>
          </w:tcPr>
          <w:p>
            <w:pPr>
              <w:spacing w:after="30" w:line="235"/>
            </w:pPr>
            <w:r>
              <w:rPr>
                <w:b/>
                <w:color w:val="FFFFFF"/>
                <w:sz w:val="19"/>
                <w:szCs w:val="19"/>
              </w:rPr>
              <w:t xml:space="preserve">Donnée / flux observé</w:t>
            </w:r>
          </w:p>
        </w:tc>
        <w:tc>
          <w:tcPr>
            <w:tcW w:w="3200" w:type="dxa"/>
            <w:shd w:fill="183C31" w:val="clear"/>
            <w:tcMar>
              <w:top w:w="85" w:type="dxa"/>
              <w:left w:w="105" w:type="dxa"/>
              <w:bottom w:w="85" w:type="dxa"/>
              <w:right w:w="105" w:type="dxa"/>
            </w:tcMar>
          </w:tcPr>
          <w:p>
            <w:pPr>
              <w:spacing w:after="30" w:line="235"/>
            </w:pPr>
            <w:r>
              <w:rPr>
                <w:b/>
                <w:color w:val="FFFFFF"/>
                <w:sz w:val="19"/>
                <w:szCs w:val="19"/>
              </w:rPr>
              <w:t xml:space="preserve">Destination ou raison visible</w:t>
            </w:r>
          </w:p>
        </w:tc>
        <w:tc>
          <w:tcPr>
            <w:tcW w:w="3600" w:type="dxa"/>
            <w:shd w:fill="183C31" w:val="clear"/>
            <w:tcMar>
              <w:top w:w="85" w:type="dxa"/>
              <w:left w:w="105" w:type="dxa"/>
              <w:bottom w:w="85" w:type="dxa"/>
              <w:right w:w="105" w:type="dxa"/>
            </w:tcMar>
          </w:tcPr>
          <w:p>
            <w:pPr>
              <w:spacing w:after="30" w:line="235"/>
            </w:pPr>
            <w:r>
              <w:rPr>
                <w:b/>
                <w:color w:val="FFFFFF"/>
                <w:sz w:val="19"/>
                <w:szCs w:val="19"/>
              </w:rPr>
              <w:t xml:space="preserve">Décisions et preuves à obtenir</w:t>
            </w:r>
          </w:p>
        </w:tc>
      </w:tr>
      <w:tr>
        <w:tc>
          <w:tcPr>
            <w:tcW w:w="2200" w:type="dxa"/>
            <w:shd w:fill="F3F6F2" w:val="clear"/>
            <w:tcMar>
              <w:top w:w="85" w:type="dxa"/>
              <w:left w:w="105" w:type="dxa"/>
              <w:bottom w:w="85" w:type="dxa"/>
              <w:right w:w="105" w:type="dxa"/>
            </w:tcMar>
          </w:tcPr>
          <w:p>
            <w:pPr>
              <w:spacing w:after="30" w:line="235"/>
            </w:pPr>
            <w:r>
              <w:rPr>
                <w:color w:val="24352D"/>
                <w:sz w:val="18"/>
                <w:szCs w:val="18"/>
              </w:rPr>
              <w:t xml:space="preserve">Nom d’utilisateur et mot de passe</w:t>
            </w:r>
          </w:p>
        </w:tc>
        <w:tc>
          <w:tcPr>
            <w:tcW w:w="3200" w:type="dxa"/>
            <w:shd w:fill="F3F6F2" w:val="clear"/>
            <w:tcMar>
              <w:top w:w="85" w:type="dxa"/>
              <w:left w:w="105" w:type="dxa"/>
              <w:bottom w:w="85" w:type="dxa"/>
              <w:right w:w="105" w:type="dxa"/>
            </w:tcMar>
          </w:tcPr>
          <w:p>
            <w:pPr>
              <w:spacing w:after="30" w:line="235"/>
            </w:pPr>
            <w:r>
              <w:rPr>
                <w:color w:val="24352D"/>
                <w:sz w:val="18"/>
                <w:szCs w:val="18"/>
              </w:rPr>
              <w:t xml:space="preserve">Inscription et authentification; compte géré par l’API.</w:t>
            </w:r>
          </w:p>
        </w:tc>
        <w:tc>
          <w:tcPr>
            <w:tcW w:w="3600" w:type="dxa"/>
            <w:shd w:fill="F3F6F2" w:val="clear"/>
            <w:tcMar>
              <w:top w:w="85" w:type="dxa"/>
              <w:left w:w="105" w:type="dxa"/>
              <w:bottom w:w="85" w:type="dxa"/>
              <w:right w:w="105" w:type="dxa"/>
            </w:tcMar>
          </w:tcPr>
          <w:p>
            <w:pPr>
              <w:spacing w:after="30" w:line="235"/>
            </w:pPr>
            <w:r>
              <w:rPr>
                <w:color w:val="24352D"/>
                <w:sz w:val="18"/>
                <w:szCs w:val="18"/>
              </w:rPr>
              <w:t xml:space="preserve">Durée de conservation, suppression du compte, données associées et mesures de sécurité. Ne jamais déclarer le mot de passe en clair si seul un hash est stocké — vérifier le système déployé.</w:t>
            </w:r>
          </w:p>
        </w:tc>
      </w:tr>
      <w:tr>
        <w:tc>
          <w:tcPr>
            <w:tcW w:w="2200" w:type="dxa"/>
            <w:shd w:fill="FFFFFF" w:val="clear"/>
            <w:tcMar>
              <w:top w:w="85" w:type="dxa"/>
              <w:left w:w="105" w:type="dxa"/>
              <w:bottom w:w="85" w:type="dxa"/>
              <w:right w:w="105" w:type="dxa"/>
            </w:tcMar>
          </w:tcPr>
          <w:p>
            <w:pPr>
              <w:spacing w:after="30" w:line="235"/>
            </w:pPr>
            <w:r>
              <w:rPr>
                <w:color w:val="24352D"/>
                <w:sz w:val="18"/>
                <w:szCs w:val="18"/>
              </w:rPr>
              <w:t xml:space="preserve">Photo d’une plante</w:t>
            </w:r>
          </w:p>
        </w:tc>
        <w:tc>
          <w:tcPr>
            <w:tcW w:w="3200" w:type="dxa"/>
            <w:shd w:fill="FFFFFF" w:val="clear"/>
            <w:tcMar>
              <w:top w:w="85" w:type="dxa"/>
              <w:left w:w="105" w:type="dxa"/>
              <w:bottom w:w="85" w:type="dxa"/>
              <w:right w:w="105" w:type="dxa"/>
            </w:tcMar>
          </w:tcPr>
          <w:p>
            <w:pPr>
              <w:spacing w:after="30" w:line="235"/>
            </w:pPr>
            <w:r>
              <w:rPr>
                <w:color w:val="24352D"/>
                <w:sz w:val="18"/>
                <w:szCs w:val="18"/>
              </w:rPr>
              <w:t xml:space="preserve">Envoi au serveur d’API pour reconnaissance; appel au fournisseur IA Groq.</w:t>
            </w:r>
          </w:p>
        </w:tc>
        <w:tc>
          <w:tcPr>
            <w:tcW w:w="3600" w:type="dxa"/>
            <w:shd w:fill="FFFFFF" w:val="clear"/>
            <w:tcMar>
              <w:top w:w="85" w:type="dxa"/>
              <w:left w:w="105" w:type="dxa"/>
              <w:bottom w:w="85" w:type="dxa"/>
              <w:right w:w="105" w:type="dxa"/>
            </w:tcMar>
          </w:tcPr>
          <w:p>
            <w:pPr>
              <w:spacing w:after="30" w:line="235"/>
            </w:pPr>
            <w:r>
              <w:rPr>
                <w:color w:val="24352D"/>
                <w:sz w:val="18"/>
                <w:szCs w:val="18"/>
              </w:rPr>
              <w:t xml:space="preserve">La photo est-elle conservée, transmise au fournisseur, utilisée pour entraînement, accessible au support, supprimée quand? Vérifier les conditions contractuelles et paramètres du fournisseur.</w:t>
            </w:r>
          </w:p>
        </w:tc>
      </w:tr>
      <w:tr>
        <w:tc>
          <w:tcPr>
            <w:tcW w:w="2200" w:type="dxa"/>
            <w:shd w:fill="F3F6F2" w:val="clear"/>
            <w:tcMar>
              <w:top w:w="85" w:type="dxa"/>
              <w:left w:w="105" w:type="dxa"/>
              <w:bottom w:w="85" w:type="dxa"/>
              <w:right w:w="105" w:type="dxa"/>
            </w:tcMar>
          </w:tcPr>
          <w:p>
            <w:pPr>
              <w:spacing w:after="30" w:line="235"/>
            </w:pPr>
            <w:r>
              <w:rPr>
                <w:color w:val="24352D"/>
                <w:sz w:val="18"/>
                <w:szCs w:val="18"/>
              </w:rPr>
              <w:t xml:space="preserve">Messages du chat Totem</w:t>
            </w:r>
          </w:p>
        </w:tc>
        <w:tc>
          <w:tcPr>
            <w:tcW w:w="3200" w:type="dxa"/>
            <w:shd w:fill="F3F6F2" w:val="clear"/>
            <w:tcMar>
              <w:top w:w="85" w:type="dxa"/>
              <w:left w:w="105" w:type="dxa"/>
              <w:bottom w:w="85" w:type="dxa"/>
              <w:right w:w="105" w:type="dxa"/>
            </w:tcMar>
          </w:tcPr>
          <w:p>
            <w:pPr>
              <w:spacing w:after="30" w:line="235"/>
            </w:pPr>
            <w:r>
              <w:rPr>
                <w:color w:val="24352D"/>
                <w:sz w:val="18"/>
                <w:szCs w:val="18"/>
              </w:rPr>
              <w:t xml:space="preserve">Messages envoyés au serveur puis au fournisseur IA Groq pour générer une réponse.</w:t>
            </w:r>
          </w:p>
        </w:tc>
        <w:tc>
          <w:tcPr>
            <w:tcW w:w="3600" w:type="dxa"/>
            <w:shd w:fill="F3F6F2" w:val="clear"/>
            <w:tcMar>
              <w:top w:w="85" w:type="dxa"/>
              <w:left w:w="105" w:type="dxa"/>
              <w:bottom w:w="85" w:type="dxa"/>
              <w:right w:w="105" w:type="dxa"/>
            </w:tcMar>
          </w:tcPr>
          <w:p>
            <w:pPr>
              <w:spacing w:after="30" w:line="235"/>
            </w:pPr>
            <w:r>
              <w:rPr>
                <w:color w:val="24352D"/>
                <w:sz w:val="18"/>
                <w:szCs w:val="18"/>
              </w:rPr>
              <w:t xml:space="preserve">Conservation des prompts/réponses et des journaux; accès fournisseur; finalités et localisation des traitements; procédure de suppression.</w:t>
            </w:r>
          </w:p>
        </w:tc>
      </w:tr>
      <w:tr>
        <w:tc>
          <w:tcPr>
            <w:tcW w:w="2200" w:type="dxa"/>
            <w:shd w:fill="FFFFFF" w:val="clear"/>
            <w:tcMar>
              <w:top w:w="85" w:type="dxa"/>
              <w:left w:w="105" w:type="dxa"/>
              <w:bottom w:w="85" w:type="dxa"/>
              <w:right w:w="105" w:type="dxa"/>
            </w:tcMar>
          </w:tcPr>
          <w:p>
            <w:pPr>
              <w:spacing w:after="30" w:line="235"/>
            </w:pPr>
            <w:r>
              <w:rPr>
                <w:color w:val="24352D"/>
                <w:sz w:val="18"/>
                <w:szCs w:val="18"/>
              </w:rPr>
              <w:t xml:space="preserve">Jeton de notification push</w:t>
            </w:r>
          </w:p>
        </w:tc>
        <w:tc>
          <w:tcPr>
            <w:tcW w:w="3200" w:type="dxa"/>
            <w:shd w:fill="FFFFFF" w:val="clear"/>
            <w:tcMar>
              <w:top w:w="85" w:type="dxa"/>
              <w:left w:w="105" w:type="dxa"/>
              <w:bottom w:w="85" w:type="dxa"/>
              <w:right w:w="105" w:type="dxa"/>
            </w:tcMar>
          </w:tcPr>
          <w:p>
            <w:pPr>
              <w:spacing w:after="30" w:line="235"/>
            </w:pPr>
            <w:r>
              <w:rPr>
                <w:color w:val="24352D"/>
                <w:sz w:val="18"/>
                <w:szCs w:val="18"/>
              </w:rPr>
              <w:t xml:space="preserve">Enregistrement côté serveur afin de permettre l’envoi de notifications.</w:t>
            </w:r>
          </w:p>
        </w:tc>
        <w:tc>
          <w:tcPr>
            <w:tcW w:w="3600" w:type="dxa"/>
            <w:shd w:fill="FFFFFF" w:val="clear"/>
            <w:tcMar>
              <w:top w:w="85" w:type="dxa"/>
              <w:left w:w="105" w:type="dxa"/>
              <w:bottom w:w="85" w:type="dxa"/>
              <w:right w:w="105" w:type="dxa"/>
            </w:tcMar>
          </w:tcPr>
          <w:p>
            <w:pPr>
              <w:spacing w:after="30" w:line="235"/>
            </w:pPr>
            <w:r>
              <w:rPr>
                <w:color w:val="24352D"/>
                <w:sz w:val="18"/>
                <w:szCs w:val="18"/>
              </w:rPr>
              <w:t xml:space="preserve">Durée de vie du jeton, association au compte, partage avec les services push, retrait quand l’utilisateur désactive les notifications ou supprime son compte.</w:t>
            </w:r>
          </w:p>
        </w:tc>
      </w:tr>
      <w:tr>
        <w:tc>
          <w:tcPr>
            <w:tcW w:w="2200" w:type="dxa"/>
            <w:shd w:fill="F3F6F2" w:val="clear"/>
            <w:tcMar>
              <w:top w:w="85" w:type="dxa"/>
              <w:left w:w="105" w:type="dxa"/>
              <w:bottom w:w="85" w:type="dxa"/>
              <w:right w:w="105" w:type="dxa"/>
            </w:tcMar>
          </w:tcPr>
          <w:p>
            <w:pPr>
              <w:spacing w:after="30" w:line="235"/>
            </w:pPr>
            <w:r>
              <w:rPr>
                <w:color w:val="24352D"/>
                <w:sz w:val="18"/>
                <w:szCs w:val="18"/>
              </w:rPr>
              <w:t xml:space="preserve">Nom et e-mail de paiement</w:t>
            </w:r>
          </w:p>
        </w:tc>
        <w:tc>
          <w:tcPr>
            <w:tcW w:w="3200" w:type="dxa"/>
            <w:shd w:fill="F3F6F2" w:val="clear"/>
            <w:tcMar>
              <w:top w:w="85" w:type="dxa"/>
              <w:left w:w="105" w:type="dxa"/>
              <w:bottom w:w="85" w:type="dxa"/>
              <w:right w:w="105" w:type="dxa"/>
            </w:tcMar>
          </w:tcPr>
          <w:p>
            <w:pPr>
              <w:spacing w:after="30" w:line="235"/>
            </w:pPr>
            <w:r>
              <w:rPr>
                <w:color w:val="24352D"/>
                <w:sz w:val="18"/>
                <w:szCs w:val="18"/>
              </w:rPr>
              <w:t xml:space="preserve">Formulaire du parcours abonnement puis checkout hébergé SAS Pay.</w:t>
            </w:r>
          </w:p>
        </w:tc>
        <w:tc>
          <w:tcPr>
            <w:tcW w:w="3600" w:type="dxa"/>
            <w:shd w:fill="F3F6F2" w:val="clear"/>
            <w:tcMar>
              <w:top w:w="85" w:type="dxa"/>
              <w:left w:w="105" w:type="dxa"/>
              <w:bottom w:w="85" w:type="dxa"/>
              <w:right w:w="105" w:type="dxa"/>
            </w:tcMar>
          </w:tcPr>
          <w:p>
            <w:pPr>
              <w:spacing w:after="30" w:line="235"/>
            </w:pPr>
            <w:r>
              <w:rPr>
                <w:color w:val="24352D"/>
                <w:sz w:val="18"/>
                <w:szCs w:val="18"/>
              </w:rPr>
              <w:t xml:space="preserve">Données reçues/stockées par le serveur et le prestataire; partage, conservation, finalité, moyen de résiliation et traitement des demandes.</w:t>
            </w:r>
          </w:p>
        </w:tc>
      </w:tr>
      <w:tr>
        <w:tc>
          <w:tcPr>
            <w:tcW w:w="2200" w:type="dxa"/>
            <w:shd w:fill="FFFFFF" w:val="clear"/>
            <w:tcMar>
              <w:top w:w="85" w:type="dxa"/>
              <w:left w:w="105" w:type="dxa"/>
              <w:bottom w:w="85" w:type="dxa"/>
              <w:right w:w="105" w:type="dxa"/>
            </w:tcMar>
          </w:tcPr>
          <w:p>
            <w:pPr>
              <w:spacing w:after="30" w:line="235"/>
            </w:pPr>
            <w:r>
              <w:rPr>
                <w:color w:val="24352D"/>
                <w:sz w:val="18"/>
                <w:szCs w:val="18"/>
              </w:rPr>
              <w:t xml:space="preserve">État d’abonnement / activité associée</w:t>
            </w:r>
          </w:p>
        </w:tc>
        <w:tc>
          <w:tcPr>
            <w:tcW w:w="3200" w:type="dxa"/>
            <w:shd w:fill="FFFFFF" w:val="clear"/>
            <w:tcMar>
              <w:top w:w="85" w:type="dxa"/>
              <w:left w:w="105" w:type="dxa"/>
              <w:bottom w:w="85" w:type="dxa"/>
              <w:right w:w="105" w:type="dxa"/>
            </w:tcMar>
          </w:tcPr>
          <w:p>
            <w:pPr>
              <w:spacing w:after="30" w:line="235"/>
            </w:pPr>
            <w:r>
              <w:rPr>
                <w:color w:val="24352D"/>
                <w:sz w:val="18"/>
                <w:szCs w:val="18"/>
              </w:rPr>
              <w:t xml:space="preserve">Consultation du statut et vérification de paiement côté serveur.</w:t>
            </w:r>
          </w:p>
        </w:tc>
        <w:tc>
          <w:tcPr>
            <w:tcW w:w="3600" w:type="dxa"/>
            <w:shd w:fill="FFFFFF" w:val="clear"/>
            <w:tcMar>
              <w:top w:w="85" w:type="dxa"/>
              <w:left w:w="105" w:type="dxa"/>
              <w:bottom w:w="85" w:type="dxa"/>
              <w:right w:w="105" w:type="dxa"/>
            </w:tcMar>
          </w:tcPr>
          <w:p>
            <w:pPr>
              <w:spacing w:after="30" w:line="235"/>
            </w:pPr>
            <w:r>
              <w:rPr>
                <w:color w:val="24352D"/>
                <w:sz w:val="18"/>
                <w:szCs w:val="18"/>
              </w:rPr>
              <w:t xml:space="preserve">Liste exhaustive des enregistrements liés au compte; durée de conservation légale/comptable et ce qui peut rester après suppression.</w:t>
            </w:r>
          </w:p>
        </w:tc>
      </w:tr>
    </w:tbl>
    <w:p>
      <w:pPr>
        <w:pStyle w:val="Heading2"/>
        <w:spacing w:before="100" w:after="140" w:line="276" w:lineRule="auto"/>
        <w:keepNext/>
      </w:pPr>
      <w:r>
        <w:t xml:space="preserve">Questions de contrôle — réponse requise avant la déclaration</w:t>
      </w:r>
    </w:p>
    <w:p>
      <w:pPr>
        <w:pStyle w:val="ListParagraph"/>
        <w:numPr>
          <w:ilvl w:val="0"/>
          <w:numId w:val="1"/>
        </w:numPr>
        <w:spacing w:after="75" w:line="260"/>
      </w:pPr>
      <w:r>
        <w:t xml:space="preserve">Pour chaque type de donnée : collectée? partagée? facultative ou obligatoire? chiffrée en transit? à quelle fin? durée exacte?</w:t>
      </w:r>
    </w:p>
    <w:p>
      <w:pPr>
        <w:pStyle w:val="ListParagraph"/>
        <w:numPr>
          <w:ilvl w:val="0"/>
          <w:numId w:val="1"/>
        </w:numPr>
        <w:spacing w:after="75" w:line="260"/>
      </w:pPr>
      <w:r>
        <w:t xml:space="preserve">Les prestataires (IA, hébergement, notifications, paiement) agissent-ils comme sous-traitants ou pour leurs propres finalités? Quelles règles de rétention ont été confirmées?</w:t>
      </w:r>
    </w:p>
    <w:p>
      <w:pPr>
        <w:pStyle w:val="ListParagraph"/>
        <w:numPr>
          <w:ilvl w:val="0"/>
          <w:numId w:val="1"/>
        </w:numPr>
        <w:spacing w:after="75" w:line="260"/>
      </w:pPr>
      <w:r>
        <w:t xml:space="preserve">Quels événements suppriment les données, qui les exécute et dans quel délai? Quelles exceptions de conservation sont documentées?</w:t>
      </w:r>
    </w:p>
    <w:p>
      <w:pPr>
        <w:pStyle w:val="ListParagraph"/>
        <w:numPr>
          <w:ilvl w:val="0"/>
          <w:numId w:val="1"/>
        </w:numPr>
        <w:spacing w:after="75" w:line="260"/>
      </w:pPr>
      <w:r>
        <w:t xml:space="preserve">La politique de confidentialité, l’écran de consentement et les réponses Data safety sont-ils cohérents avec le produit publié?</w:t>
      </w:r>
    </w:p>
    <w:p>
      <w:r>
        <w:br w:type="page"/>
      </w:r>
    </w:p>
    <w:p>
      <w:pPr>
        <w:pStyle w:val="Heading1"/>
        <w:spacing w:before="150" w:after="140" w:line="276" w:lineRule="auto"/>
        <w:keepNext/>
      </w:pPr>
      <w:r>
        <w:t xml:space="preserve">4. Informations à fournir par l’éditeur</w:t>
      </w:r>
    </w:p>
    <w:p>
      <w:pPr>
        <w:spacing w:before="0" w:after="120" w:line="276" w:lineRule="auto"/>
      </w:pPr>
      <w:r>
        <w:t xml:space="preserve">Les champs ci-dessous restent volontairement vides. Les compléter avec des informations exactes et validées par la personne responsable de l’éditeur.</w:t>
      </w:r>
    </w:p>
    <w:tbl>
      <w:tblPr>
        <w:tblW w:w="0" w:type="auto"/>
        <w:tblLayout w:type="fixed"/>
        <w:tblBorders>
          <w:top w:val="single" w:sz="5" w:color="D8DFD7"/>
          <w:left w:val="single" w:sz="5" w:color="D8DFD7"/>
          <w:bottom w:val="single" w:sz="5" w:color="D8DFD7"/>
          <w:right w:val="single" w:sz="5" w:color="D8DFD7"/>
          <w:insideH w:val="single" w:sz="4" w:color="E1E6E0"/>
          <w:insideV w:val="single" w:sz="4" w:color="E1E6E0"/>
        </w:tblBorders>
        <w:tblCellMar>
          <w:top w:w="65" w:type="dxa"/>
          <w:left w:w="75" w:type="dxa"/>
          <w:bottom w:w="65" w:type="dxa"/>
          <w:right w:w="75" w:type="dxa"/>
        </w:tblCellMar>
      </w:tblPr>
      <w:tblGrid>
        <w:gridCol w:w="2500"/>
        <w:gridCol w:w="6500"/>
      </w:tblGrid>
      <w:tr>
        <w:tc>
          <w:tcPr>
            <w:tcW w:w="2500" w:type="dxa"/>
            <w:shd w:fill="183C31" w:val="clear"/>
            <w:tcMar>
              <w:top w:w="85" w:type="dxa"/>
              <w:left w:w="105" w:type="dxa"/>
              <w:bottom w:w="85" w:type="dxa"/>
              <w:right w:w="105" w:type="dxa"/>
            </w:tcMar>
          </w:tcPr>
          <w:p>
            <w:pPr>
              <w:spacing w:after="30" w:line="235"/>
            </w:pPr>
            <w:r>
              <w:rPr>
                <w:b/>
                <w:color w:val="FFFFFF"/>
                <w:sz w:val="19"/>
                <w:szCs w:val="19"/>
              </w:rPr>
              <w:t xml:space="preserve">Décision / information</w:t>
            </w:r>
          </w:p>
        </w:tc>
        <w:tc>
          <w:tcPr>
            <w:tcW w:w="6500" w:type="dxa"/>
            <w:shd w:fill="183C31" w:val="clear"/>
            <w:tcMar>
              <w:top w:w="85" w:type="dxa"/>
              <w:left w:w="105" w:type="dxa"/>
              <w:bottom w:w="85" w:type="dxa"/>
              <w:right w:w="105" w:type="dxa"/>
            </w:tcMar>
          </w:tcPr>
          <w:p>
            <w:pPr>
              <w:spacing w:after="30" w:line="235"/>
            </w:pPr>
            <w:r>
              <w:rPr>
                <w:b/>
                <w:color w:val="FFFFFF"/>
                <w:sz w:val="19"/>
                <w:szCs w:val="19"/>
              </w:rPr>
              <w:t xml:space="preserve">À compléter ou vérifier</w:t>
            </w:r>
          </w:p>
        </w:tc>
      </w:tr>
      <w:tr>
        <w:tc>
          <w:tcPr>
            <w:tcW w:w="2500" w:type="dxa"/>
            <w:shd w:fill="F3F6F2" w:val="clear"/>
            <w:tcMar>
              <w:top w:w="85" w:type="dxa"/>
              <w:left w:w="105" w:type="dxa"/>
              <w:bottom w:w="85" w:type="dxa"/>
              <w:right w:w="105" w:type="dxa"/>
            </w:tcMar>
          </w:tcPr>
          <w:p>
            <w:pPr>
              <w:spacing w:after="30" w:line="235"/>
            </w:pPr>
            <w:r>
              <w:rPr>
                <w:color w:val="24352D"/>
                <w:sz w:val="18"/>
                <w:szCs w:val="18"/>
              </w:rPr>
              <w:t xml:space="preserve">Compte développeur</w:t>
            </w:r>
          </w:p>
        </w:tc>
        <w:tc>
          <w:tcPr>
            <w:tcW w:w="6500" w:type="dxa"/>
            <w:shd w:fill="F3F6F2" w:val="clear"/>
            <w:tcMar>
              <w:top w:w="85" w:type="dxa"/>
              <w:left w:w="105" w:type="dxa"/>
              <w:bottom w:w="85" w:type="dxa"/>
              <w:right w:w="105" w:type="dxa"/>
            </w:tcMar>
          </w:tcPr>
          <w:p>
            <w:pPr>
              <w:spacing w:after="30" w:line="235"/>
            </w:pPr>
            <w:r>
              <w:rPr>
                <w:color w:val="24352D"/>
                <w:sz w:val="18"/>
                <w:szCs w:val="18"/>
              </w:rPr>
              <w:t xml:space="preserve">Type : ☐ Personnel ☐ Organisation    Date de création : ____________________
Pays du compte : ____________________    Vérifier la procédure de test applicable.</w:t>
            </w:r>
          </w:p>
        </w:tc>
      </w:tr>
      <w:tr>
        <w:tc>
          <w:tcPr>
            <w:tcW w:w="2500" w:type="dxa"/>
            <w:shd w:fill="FFFFFF" w:val="clear"/>
            <w:tcMar>
              <w:top w:w="85" w:type="dxa"/>
              <w:left w:w="105" w:type="dxa"/>
              <w:bottom w:w="85" w:type="dxa"/>
              <w:right w:w="105" w:type="dxa"/>
            </w:tcMar>
          </w:tcPr>
          <w:p>
            <w:pPr>
              <w:spacing w:after="30" w:line="235"/>
            </w:pPr>
            <w:r>
              <w:rPr>
                <w:color w:val="24352D"/>
                <w:sz w:val="18"/>
                <w:szCs w:val="18"/>
              </w:rPr>
              <w:t xml:space="preserve">Éditeur et contact public</w:t>
            </w:r>
          </w:p>
        </w:tc>
        <w:tc>
          <w:tcPr>
            <w:tcW w:w="6500" w:type="dxa"/>
            <w:shd w:fill="FFFFFF" w:val="clear"/>
            <w:tcMar>
              <w:top w:w="85" w:type="dxa"/>
              <w:left w:w="105" w:type="dxa"/>
              <w:bottom w:w="85" w:type="dxa"/>
              <w:right w:w="105" w:type="dxa"/>
            </w:tcMar>
          </w:tcPr>
          <w:p>
            <w:pPr>
              <w:spacing w:after="30" w:line="235"/>
            </w:pPr>
            <w:r>
              <w:rPr>
                <w:color w:val="24352D"/>
                <w:sz w:val="18"/>
                <w:szCs w:val="18"/>
              </w:rPr>
              <w:t xml:space="preserve">Nom légal/éditeur tel qu’affiché : ________________________________________
Adresse e-mail support : ____________________    Site / support : ____________________
Téléphone/adresse si demandés par le compte et le mode de monétisation : ____________________</w:t>
            </w:r>
          </w:p>
        </w:tc>
      </w:tr>
      <w:tr>
        <w:tc>
          <w:tcPr>
            <w:tcW w:w="2500" w:type="dxa"/>
            <w:shd w:fill="F3F6F2" w:val="clear"/>
            <w:tcMar>
              <w:top w:w="85" w:type="dxa"/>
              <w:left w:w="105" w:type="dxa"/>
              <w:bottom w:w="85" w:type="dxa"/>
              <w:right w:w="105" w:type="dxa"/>
            </w:tcMar>
          </w:tcPr>
          <w:p>
            <w:pPr>
              <w:spacing w:after="30" w:line="235"/>
            </w:pPr>
            <w:r>
              <w:rPr>
                <w:color w:val="24352D"/>
                <w:sz w:val="18"/>
                <w:szCs w:val="18"/>
              </w:rPr>
              <w:t xml:space="preserve">Distribution et offre</w:t>
            </w:r>
          </w:p>
        </w:tc>
        <w:tc>
          <w:tcPr>
            <w:tcW w:w="6500" w:type="dxa"/>
            <w:shd w:fill="F3F6F2" w:val="clear"/>
            <w:tcMar>
              <w:top w:w="85" w:type="dxa"/>
              <w:left w:w="105" w:type="dxa"/>
              <w:bottom w:w="85" w:type="dxa"/>
              <w:right w:w="105" w:type="dxa"/>
            </w:tcMar>
          </w:tcPr>
          <w:p>
            <w:pPr>
              <w:spacing w:after="30" w:line="235"/>
            </w:pPr>
            <w:r>
              <w:rPr>
                <w:color w:val="24352D"/>
                <w:sz w:val="18"/>
                <w:szCs w:val="18"/>
              </w:rPr>
              <w:t xml:space="preserve">Pays/régions : ____________________    Langues : ____________________
Gratuit ou payant : ____________________    Prix / devise / taxes : ____________________
Prix et conditions des offres mensuelle et annuelle : ____________________</w:t>
            </w:r>
          </w:p>
        </w:tc>
      </w:tr>
      <w:tr>
        <w:tc>
          <w:tcPr>
            <w:tcW w:w="2500" w:type="dxa"/>
            <w:shd w:fill="FFFFFF" w:val="clear"/>
            <w:tcMar>
              <w:top w:w="85" w:type="dxa"/>
              <w:left w:w="105" w:type="dxa"/>
              <w:bottom w:w="85" w:type="dxa"/>
              <w:right w:w="105" w:type="dxa"/>
            </w:tcMar>
          </w:tcPr>
          <w:p>
            <w:pPr>
              <w:spacing w:after="30" w:line="235"/>
            </w:pPr>
            <w:r>
              <w:rPr>
                <w:color w:val="24352D"/>
                <w:sz w:val="18"/>
                <w:szCs w:val="18"/>
              </w:rPr>
              <w:t xml:space="preserve">Fiche Play</w:t>
            </w:r>
          </w:p>
        </w:tc>
        <w:tc>
          <w:tcPr>
            <w:tcW w:w="6500" w:type="dxa"/>
            <w:shd w:fill="FFFFFF" w:val="clear"/>
            <w:tcMar>
              <w:top w:w="85" w:type="dxa"/>
              <w:left w:w="105" w:type="dxa"/>
              <w:bottom w:w="85" w:type="dxa"/>
              <w:right w:w="105" w:type="dxa"/>
            </w:tcMar>
          </w:tcPr>
          <w:p>
            <w:pPr>
              <w:spacing w:after="30" w:line="235"/>
            </w:pPr>
            <w:r>
              <w:rPr>
                <w:color w:val="24352D"/>
                <w:sz w:val="18"/>
                <w:szCs w:val="18"/>
              </w:rPr>
              <w:t xml:space="preserve">Titre ≤ 30 caractères : ____________________
Description courte ≤ 80 caractères : __________________________________________
Description complète ≤ 4 000 caractères : ______________________________________
Catégorie : __________    Icône de fiche / captures : à préparer.</w:t>
            </w:r>
          </w:p>
        </w:tc>
      </w:tr>
      <w:tr>
        <w:tc>
          <w:tcPr>
            <w:tcW w:w="2500" w:type="dxa"/>
            <w:shd w:fill="F3F6F2" w:val="clear"/>
            <w:tcMar>
              <w:top w:w="85" w:type="dxa"/>
              <w:left w:w="105" w:type="dxa"/>
              <w:bottom w:w="85" w:type="dxa"/>
              <w:right w:w="105" w:type="dxa"/>
            </w:tcMar>
          </w:tcPr>
          <w:p>
            <w:pPr>
              <w:spacing w:after="30" w:line="235"/>
            </w:pPr>
            <w:r>
              <w:rPr>
                <w:color w:val="24352D"/>
                <w:sz w:val="18"/>
                <w:szCs w:val="18"/>
              </w:rPr>
              <w:t xml:space="preserve">Public et contenu</w:t>
            </w:r>
          </w:p>
        </w:tc>
        <w:tc>
          <w:tcPr>
            <w:tcW w:w="6500" w:type="dxa"/>
            <w:shd w:fill="F3F6F2" w:val="clear"/>
            <w:tcMar>
              <w:top w:w="85" w:type="dxa"/>
              <w:left w:w="105" w:type="dxa"/>
              <w:bottom w:w="85" w:type="dxa"/>
              <w:right w:w="105" w:type="dxa"/>
            </w:tcMar>
          </w:tcPr>
          <w:p>
            <w:pPr>
              <w:spacing w:after="30" w:line="235"/>
            </w:pPr>
            <w:r>
              <w:rPr>
                <w:color w:val="24352D"/>
                <w:sz w:val="18"/>
                <w:szCs w:val="18"/>
              </w:rPr>
              <w:t xml:space="preserve">Public cible / présence d’enfants : ____________________
Publicités : oui / non / à déterminer : __________    Classification de contenu : à remplir dans Console.</w:t>
            </w:r>
          </w:p>
        </w:tc>
      </w:tr>
      <w:tr>
        <w:tc>
          <w:tcPr>
            <w:tcW w:w="2500" w:type="dxa"/>
            <w:shd w:fill="FFFFFF" w:val="clear"/>
            <w:tcMar>
              <w:top w:w="85" w:type="dxa"/>
              <w:left w:w="105" w:type="dxa"/>
              <w:bottom w:w="85" w:type="dxa"/>
              <w:right w:w="105" w:type="dxa"/>
            </w:tcMar>
          </w:tcPr>
          <w:p>
            <w:pPr>
              <w:spacing w:after="30" w:line="235"/>
            </w:pPr>
            <w:r>
              <w:rPr>
                <w:color w:val="24352D"/>
                <w:sz w:val="18"/>
                <w:szCs w:val="18"/>
              </w:rPr>
              <w:t xml:space="preserve">Accès pour l’examen</w:t>
            </w:r>
          </w:p>
        </w:tc>
        <w:tc>
          <w:tcPr>
            <w:tcW w:w="6500" w:type="dxa"/>
            <w:shd w:fill="FFFFFF" w:val="clear"/>
            <w:tcMar>
              <w:top w:w="85" w:type="dxa"/>
              <w:left w:w="105" w:type="dxa"/>
              <w:bottom w:w="85" w:type="dxa"/>
              <w:right w:w="105" w:type="dxa"/>
            </w:tcMar>
          </w:tcPr>
          <w:p>
            <w:pPr>
              <w:spacing w:after="30" w:line="235"/>
            </w:pPr>
            <w:r>
              <w:rPr>
                <w:color w:val="24352D"/>
                <w:sz w:val="18"/>
                <w:szCs w:val="18"/>
              </w:rPr>
              <w:t xml:space="preserve">Parcours d’accès et limitations : __________________________________________
Créer un compte de démonstration si l’app requiert une connexion. Ajouter les identifiants uniquement dans la section sécurisée App access de Play Console, jamais dans ce document.</w:t>
            </w:r>
          </w:p>
        </w:tc>
      </w:tr>
      <w:tr>
        <w:tc>
          <w:tcPr>
            <w:tcW w:w="2500" w:type="dxa"/>
            <w:shd w:fill="F3F6F2" w:val="clear"/>
            <w:tcMar>
              <w:top w:w="85" w:type="dxa"/>
              <w:left w:w="105" w:type="dxa"/>
              <w:bottom w:w="85" w:type="dxa"/>
              <w:right w:w="105" w:type="dxa"/>
            </w:tcMar>
          </w:tcPr>
          <w:p>
            <w:pPr>
              <w:spacing w:after="30" w:line="235"/>
            </w:pPr>
            <w:r>
              <w:rPr>
                <w:color w:val="24352D"/>
                <w:sz w:val="18"/>
                <w:szCs w:val="18"/>
              </w:rPr>
              <w:t xml:space="preserve">Données / suppression</w:t>
            </w:r>
          </w:p>
        </w:tc>
        <w:tc>
          <w:tcPr>
            <w:tcW w:w="6500" w:type="dxa"/>
            <w:shd w:fill="F3F6F2" w:val="clear"/>
            <w:tcMar>
              <w:top w:w="85" w:type="dxa"/>
              <w:left w:w="105" w:type="dxa"/>
              <w:bottom w:w="85" w:type="dxa"/>
              <w:right w:w="105" w:type="dxa"/>
            </w:tcMar>
          </w:tcPr>
          <w:p>
            <w:pPr>
              <w:spacing w:after="30" w:line="235"/>
            </w:pPr>
            <w:r>
              <w:rPr>
                <w:color w:val="24352D"/>
                <w:sz w:val="18"/>
                <w:szCs w:val="18"/>
              </w:rPr>
              <w:t xml:space="preserve">URL politique de confidentialité : _________________________________________
URL de demande de suppression : __________________________________________
Délais de rétention par catégorie et responsabilités des fournisseurs : document séparé validé.</w:t>
            </w:r>
          </w:p>
        </w:tc>
      </w:tr>
      <w:tr>
        <w:tc>
          <w:tcPr>
            <w:tcW w:w="2500" w:type="dxa"/>
            <w:shd w:fill="FFFFFF" w:val="clear"/>
            <w:tcMar>
              <w:top w:w="85" w:type="dxa"/>
              <w:left w:w="105" w:type="dxa"/>
              <w:bottom w:w="85" w:type="dxa"/>
              <w:right w:w="105" w:type="dxa"/>
            </w:tcMar>
          </w:tcPr>
          <w:p>
            <w:pPr>
              <w:spacing w:after="30" w:line="235"/>
            </w:pPr>
            <w:r>
              <w:rPr>
                <w:color w:val="24352D"/>
                <w:sz w:val="18"/>
                <w:szCs w:val="18"/>
              </w:rPr>
              <w:t xml:space="preserve">Paiement</w:t>
            </w:r>
          </w:p>
        </w:tc>
        <w:tc>
          <w:tcPr>
            <w:tcW w:w="6500" w:type="dxa"/>
            <w:shd w:fill="FFFFFF" w:val="clear"/>
            <w:tcMar>
              <w:top w:w="85" w:type="dxa"/>
              <w:left w:w="105" w:type="dxa"/>
              <w:bottom w:w="85" w:type="dxa"/>
              <w:right w:w="105" w:type="dxa"/>
            </w:tcMar>
          </w:tcPr>
          <w:p>
            <w:pPr>
              <w:spacing w:after="30" w:line="235"/>
            </w:pPr>
            <w:r>
              <w:rPr>
                <w:color w:val="24352D"/>
                <w:sz w:val="18"/>
                <w:szCs w:val="18"/>
              </w:rPr>
              <w:t xml:space="preserve">Règle de facturation retenue et justification/exception confirmée : ____________________
Contact support, procédure d’annulation/remboursement, conditions d’abonnement : ____________________</w:t>
            </w:r>
          </w:p>
        </w:tc>
      </w:tr>
    </w:tbl>
    <w:p>
      <w:pPr>
        <w:spacing w:before="0" w:after="40" w:line="276" w:lineRule="auto"/>
      </w:pPr>
      <w:r>
        <w:rPr>
          <w:i/>
          <w:color w:val="53635A"/>
        </w:rPr>
        <w:t xml:space="preserve">Pour les identifiants d’examen, utiliser un compte dédié, fonctionnel et durable; fournir des instructions simples permettant d’atteindre les fonctions principales. Les secrets restent dans les champs prévus par Play Console.</w:t>
      </w:r>
    </w:p>
    <w:p>
      <w:r>
        <w:br w:type="page"/>
      </w:r>
    </w:p>
    <w:p>
      <w:pPr>
        <w:pStyle w:val="Heading1"/>
        <w:spacing w:before="150" w:after="140" w:line="276" w:lineRule="auto"/>
        <w:keepNext/>
      </w:pPr>
      <w:r>
        <w:t xml:space="preserve">5. Parcours recommandé dans Play Console</w:t>
      </w:r>
    </w:p>
    <w:p>
      <w:pPr>
        <w:spacing w:before="0" w:after="120" w:line="276" w:lineRule="auto"/>
      </w:pPr>
      <w:r>
        <w:rPr>
          <w:b/>
          <w:color w:val="183C31"/>
        </w:rPr>
        <w:t xml:space="preserve">01 — Préparer la version  </w:t>
      </w:r>
      <w:r>
        <w:t xml:space="preserve">Construire l’AAB de production; relever son applicationId, versionCode, targetSdkVersion et empreinte/signature. Vérifier API 36 ou ultérieur. Tester l’installation et les flux principaux sur un appareil Android.</w:t>
      </w:r>
    </w:p>
    <w:p>
      <w:pPr>
        <w:spacing w:before="0" w:after="120" w:line="276" w:lineRule="auto"/>
      </w:pPr>
      <w:r>
        <w:rPr>
          <w:b/>
          <w:color w:val="183C31"/>
        </w:rPr>
        <w:t xml:space="preserve">02 — Stabiliser conformité et données  </w:t>
      </w:r>
      <w:r>
        <w:t xml:space="preserve">Publier politique et demande de suppression; finaliser la cartographie Data safety; vérifier les pratiques des fournisseurs; trancher la facturation SAS Pay / Play Billing.</w:t>
      </w:r>
    </w:p>
    <w:p>
      <w:pPr>
        <w:spacing w:before="0" w:after="120" w:line="276" w:lineRule="auto"/>
      </w:pPr>
      <w:r>
        <w:rPr>
          <w:b/>
          <w:color w:val="183C31"/>
        </w:rPr>
        <w:t xml:space="preserve">03 — Créer ou sélectionner l’application  </w:t>
      </w:r>
      <w:r>
        <w:t xml:space="preserve">Confirmer l’éditeur et le type de compte; réserver le titre de fiche; renseigner langue, catégorie et coordonnées publiques.</w:t>
      </w:r>
    </w:p>
    <w:p>
      <w:pPr>
        <w:spacing w:before="0" w:after="120" w:line="276" w:lineRule="auto"/>
      </w:pPr>
      <w:r>
        <w:rPr>
          <w:b/>
          <w:color w:val="183C31"/>
        </w:rPr>
        <w:t xml:space="preserve">04 — Compléter le contenu  </w:t>
      </w:r>
      <w:r>
        <w:t xml:space="preserve">Ajouter descriptions et visuels; remplir accès à l’app, public cible, déclarations publicitaires, classification de contenu, politique de confidentialité et formulaires de données.</w:t>
      </w:r>
    </w:p>
    <w:p>
      <w:pPr>
        <w:spacing w:before="0" w:after="120" w:line="276" w:lineRule="auto"/>
      </w:pPr>
      <w:r>
        <w:rPr>
          <w:b/>
          <w:color w:val="183C31"/>
        </w:rPr>
        <w:t xml:space="preserve">05 — Tester  </w:t>
      </w:r>
      <w:r>
        <w:t xml:space="preserve">Téléverser l’AAB sur une piste de test; résoudre les alertes, examiner le rapport de pré-lancement et tester inscription, scan, chat, notifications, paiement/retour et suppression. Appliquer le test fermé de 12 testeurs/14 jours si le compte y est soumis.</w:t>
      </w:r>
    </w:p>
    <w:p>
      <w:pPr>
        <w:spacing w:before="0" w:after="120" w:line="276" w:lineRule="auto"/>
      </w:pPr>
      <w:r>
        <w:rPr>
          <w:b/>
          <w:color w:val="183C31"/>
        </w:rPr>
        <w:t xml:space="preserve">06 — Vérification finale  </w:t>
      </w:r>
      <w:r>
        <w:t xml:space="preserve">Vérifier que toutes les déclarations décrivent le binaire et les prestataires réellement actifs; vérifier pays, prix, accès d’examen, signature et version; soumettre seulement après validation interne.</w:t>
      </w:r>
    </w:p>
    <w:p>
      <w:pPr>
        <w:spacing w:before="0" w:after="120" w:line="276" w:lineRule="auto"/>
      </w:pPr>
      <w:r>
        <w:rPr>
          <w:b/>
          <w:color w:val="183C31"/>
        </w:rPr>
        <w:t xml:space="preserve">07 — Demande d’examen  </w:t>
      </w:r>
      <w:r>
        <w:t xml:space="preserve">Lancer la demande de revue dans Play Console. Google garde la décision d’examen et peut demander des corrections. Ce guide ne déclenche ni téléversement, ni publication.</w:t>
      </w:r>
    </w:p>
    <w:p>
      <w:pPr>
        <w:pStyle w:val="Heading2"/>
        <w:spacing w:before="100" w:after="140" w:line="276" w:lineRule="auto"/>
        <w:keepNext/>
      </w:pPr>
      <w:r>
        <w:t xml:space="preserve">Liste de sortie — aucune case cochée par défaut</w:t>
      </w:r>
    </w:p>
    <w:p>
      <w:pPr>
        <w:spacing w:before="0" w:after="65" w:line="276" w:lineRule="auto"/>
      </w:pPr>
      <w:r>
        <w:t xml:space="preserve">☐ Titre de fiche ≤ 30 caractères et textes relus</w:t>
      </w:r>
    </w:p>
    <w:p>
      <w:pPr>
        <w:spacing w:before="0" w:after="65" w:line="276" w:lineRule="auto"/>
      </w:pPr>
      <w:r>
        <w:t xml:space="preserve">☐ Politique de confidentialité publiée et accessible</w:t>
      </w:r>
    </w:p>
    <w:p>
      <w:pPr>
        <w:spacing w:before="0" w:after="65" w:line="276" w:lineRule="auto"/>
      </w:pPr>
      <w:r>
        <w:t xml:space="preserve">☐ Suppression dans l’app et demande web testées</w:t>
      </w:r>
    </w:p>
    <w:p>
      <w:pPr>
        <w:spacing w:before="0" w:after="65" w:line="276" w:lineRule="auto"/>
      </w:pPr>
      <w:r>
        <w:t xml:space="preserve">☐ Data safety rapprochée des SDK, prestataires et données serveur</w:t>
      </w:r>
    </w:p>
    <w:p>
      <w:pPr>
        <w:spacing w:before="0" w:after="65" w:line="276" w:lineRule="auto"/>
      </w:pPr>
      <w:r>
        <w:t xml:space="preserve">☐ Règle de facturation vérifiée pour l’offre vendue</w:t>
      </w:r>
    </w:p>
    <w:p>
      <w:pPr>
        <w:spacing w:before="0" w:after="65" w:line="276" w:lineRule="auto"/>
      </w:pPr>
      <w:r>
        <w:t xml:space="preserve">☐ AAB de production signé, target API conforme, versionCode supérieur à toute version publiée</w:t>
      </w:r>
    </w:p>
    <w:p>
      <w:pPr>
        <w:spacing w:before="0" w:after="65" w:line="276" w:lineRule="auto"/>
      </w:pPr>
      <w:r>
        <w:t xml:space="preserve">☐ Formulaires Play Console, contenus, captures et instructions d’examen complétés</w:t>
      </w:r>
    </w:p>
    <w:p>
      <w:pPr>
        <w:spacing w:before="0" w:after="65" w:line="276" w:lineRule="auto"/>
      </w:pPr>
      <w:r>
        <w:t xml:space="preserve">☐ Test et rapport de pré-lancement examinés; accès production obtenu si requis</w:t>
      </w:r>
    </w:p>
    <w:p>
      <w:r>
        <w:br w:type="page"/>
      </w:r>
    </w:p>
    <w:p>
      <w:pPr>
        <w:pStyle w:val="Heading1"/>
        <w:spacing w:before="150" w:after="140" w:line="276" w:lineRule="auto"/>
        <w:keepNext/>
      </w:pPr>
      <w:r>
        <w:t xml:space="preserve">6. Sources officielles et traçabilité</w:t>
      </w:r>
    </w:p>
    <w:p>
      <w:pPr>
        <w:spacing w:before="0" w:after="140" w:line="276" w:lineRule="auto"/>
      </w:pPr>
      <w:r>
        <w:t xml:space="preserve">Exigences Google Play consultées pour la préparation de ce guide. Les règles peuvent évoluer : revalider chaque page et les alertes de Play Console au moment de la soumission.</w:t>
      </w:r>
    </w:p>
    <w:p>
      <w:pPr>
        <w:spacing w:after="70"/>
      </w:pPr>
      <w:hyperlink r:id="rId3" w:history="1">
        <w:r>
          <w:rPr>
            <w:color w:val="176B57"/>
            <w:sz w:val="19"/>
            <w:szCs w:val="19"/>
          </w:rPr>
          <w:t xml:space="preserve">Niveaux d’API ciblés — échéances et versions Android — https://support.google.com/googleplay/android-developer/answer/11926878?hl=fr</w:t>
        </w:r>
      </w:hyperlink>
    </w:p>
    <w:p>
      <w:pPr>
        <w:spacing w:after="70"/>
      </w:pPr>
      <w:hyperlink r:id="rId4" w:history="1">
        <w:r>
          <w:rPr>
            <w:color w:val="176B57"/>
            <w:sz w:val="19"/>
            <w:szCs w:val="19"/>
          </w:rPr>
          <w:t xml:space="preserve">Accès à la production et tests préalables pour comptes personnels — https://support.google.com/googleplay/android-developer/answer/14151465?hl=fr</w:t>
        </w:r>
      </w:hyperlink>
    </w:p>
    <w:p>
      <w:pPr>
        <w:spacing w:after="70"/>
      </w:pPr>
      <w:hyperlink r:id="rId5" w:history="1">
        <w:r>
          <w:rPr>
            <w:color w:val="176B57"/>
            <w:sz w:val="19"/>
            <w:szCs w:val="19"/>
          </w:rPr>
          <w:t xml:space="preserve">Exigences de la fiche Play Store — métadonnées et limites de texte — https://support.google.com/googleplay/android-developer/answer/9859152?hl=fr</w:t>
        </w:r>
      </w:hyperlink>
    </w:p>
    <w:p>
      <w:pPr>
        <w:spacing w:after="70"/>
      </w:pPr>
      <w:hyperlink r:id="rId6" w:history="1">
        <w:r>
          <w:rPr>
            <w:color w:val="176B57"/>
            <w:sz w:val="19"/>
            <w:szCs w:val="19"/>
          </w:rPr>
          <w:t xml:space="preserve">Déclaration Data safety — exigences et démarche — https://support.google.com/googleplay/android-developer/answer/10787469?hl=fr</w:t>
        </w:r>
      </w:hyperlink>
    </w:p>
    <w:p>
      <w:pPr>
        <w:spacing w:after="70"/>
      </w:pPr>
      <w:hyperlink r:id="rId7" w:history="1">
        <w:r>
          <w:rPr>
            <w:color w:val="176B57"/>
            <w:sz w:val="19"/>
            <w:szCs w:val="19"/>
          </w:rPr>
          <w:t xml:space="preserve">Politique Google Play sur les données utilisateur et confidentialité — https://support.google.com/googleplay/android-developer/answer/10144311?hl=fr</w:t>
        </w:r>
      </w:hyperlink>
    </w:p>
    <w:p>
      <w:pPr>
        <w:spacing w:after="70"/>
      </w:pPr>
      <w:hyperlink r:id="rId8" w:history="1">
        <w:r>
          <w:rPr>
            <w:color w:val="176B57"/>
            <w:sz w:val="19"/>
            <w:szCs w:val="19"/>
          </w:rPr>
          <w:t xml:space="preserve">Exigences de suppression de compte et de données — https://support.google.com/googleplay/android-developer/answer/13327111?hl=fr</w:t>
        </w:r>
      </w:hyperlink>
    </w:p>
    <w:p>
      <w:pPr>
        <w:spacing w:after="70"/>
      </w:pPr>
      <w:hyperlink r:id="rId9" w:history="1">
        <w:r>
          <w:rPr>
            <w:color w:val="176B57"/>
            <w:sz w:val="19"/>
            <w:szCs w:val="19"/>
          </w:rPr>
          <w:t xml:space="preserve">Politique de paiements Google Play — https://support.google.com/googleplay/android-developer/answer/9858738?hl=fr</w:t>
        </w:r>
      </w:hyperlink>
    </w:p>
    <w:p>
      <w:pPr>
        <w:spacing w:after="70"/>
      </w:pPr>
      <w:hyperlink r:id="rId10" w:history="1">
        <w:r>
          <w:rPr>
            <w:color w:val="176B57"/>
            <w:sz w:val="19"/>
            <w:szCs w:val="19"/>
          </w:rPr>
          <w:t xml:space="preserve">Centre d’aide Google Play Billing — https://support.google.com/googleplay/android-developer/topic/3452890?hl=fr</w:t>
        </w:r>
      </w:hyperlink>
    </w:p>
    <w:p>
      <w:pPr>
        <w:pStyle w:val="Heading2"/>
        <w:spacing w:before="100" w:after="140" w:line="276" w:lineRule="auto"/>
        <w:keepNext/>
      </w:pPr>
      <w:r>
        <w:t xml:space="preserve">Limites de cet audit</w:t>
      </w:r>
    </w:p>
    <w:p>
      <w:pPr>
        <w:spacing w:before="0" w:after="150" w:line="276" w:lineRule="auto"/>
      </w:pPr>
      <w:r>
        <w:t xml:space="preserve">L’audit est une vérification préparatoire du dépôt source et des fichiers disponibles le 29 septembre 2026. Il n’a pas vérifié le compte Play Console, les données réelles de production, les contrats et paramètres des fournisseurs, la configuration effective du binaire AAB, ni les obligations juridiques propres au pays d’établissement ou aux marchés visés. Une validation humaine reste nécessaire.</w:t>
      </w:r>
    </w:p>
    <w:p>
      <w:pPr>
        <w:pStyle w:val="Heading2"/>
        <w:spacing w:before="100" w:after="140" w:line="276" w:lineRule="auto"/>
        <w:keepNext/>
      </w:pPr>
      <w:r>
        <w:t xml:space="preserve">Notes de suivi</w:t>
      </w:r>
    </w:p>
    <w:p>
      <w:pPr>
        <w:spacing w:before="0" w:after="90" w:line="276" w:lineRule="auto"/>
      </w:pPr>
      <w:r>
        <w:t xml:space="preserve">Responsable de la collecte des informations : __________________________________</w:t>
      </w:r>
    </w:p>
    <w:p>
      <w:pPr>
        <w:spacing w:before="0" w:after="90" w:line="276" w:lineRule="auto"/>
      </w:pPr>
      <w:r>
        <w:t xml:space="preserve">Date de relecture : ____________________    Version du document : 1.0</w:t>
      </w:r>
    </w:p>
    <w:p>
      <w:pPr>
        <w:spacing w:before="0" w:after="60" w:line="276" w:lineRule="auto"/>
      </w:pPr>
      <w:r>
        <w:t xml:space="preserve">Décisions ou preuves jointes (sans identifiants ni secrets) :</w:t>
      </w:r>
    </w:p>
    <w:p>
      <w:pPr>
        <w:spacing w:before="0" w:after="80" w:line="276" w:lineRule="auto"/>
      </w:pPr>
      <w:r>
        <w:rPr>
          <w:color w:val="738078"/>
        </w:rPr>
        <w:t xml:space="preserve">____________________________________________________________________________</w:t>
      </w:r>
    </w:p>
    <w:p>
      <w:pPr>
        <w:spacing w:before="0" w:after="80" w:line="276" w:lineRule="auto"/>
      </w:pPr>
      <w:r>
        <w:rPr>
          <w:color w:val="738078"/>
        </w:rPr>
        <w:t xml:space="preserve">____________________________________________________________________________</w:t>
      </w:r>
    </w:p>
    <w:sectPr>
      <w:pgSz w:w="11906" w:h="16838"/>
      <w:pgMar w:top="900" w:right="880" w:bottom="900" w:left="880" w:header="420" w:footer="420" w:gutter="0"/>
      <w:cols w:space="425"/>
      <w:docGrid w:linePitch="360"/>
      <w:footerReference w:type="default" r:id="rIdFooter"/>
    </w:sectPr>
  </w:body>
</w:document>
</file>

<file path=word/footer.xml><?xml version="1.0" encoding="utf-8"?>
<w:ftr xmlns:w="http://schemas.openxmlformats.org/wordprocessingml/2006/main">
  <w:p>
    <w:pPr>
      <w:tabs>
        <w:tab w:val="right" w:pos="9360"/>
      </w:tabs>
      <w:spacing w:before="0" w:after="0"/>
    </w:pPr>
    <w:r>
      <w:rPr>
        <w:color w:val="78847C"/>
        <w:sz w:val="16"/>
      </w:rPr>
      <w:t>Guide de préparation Google Play · 29 septembre 2026</w:t>
    </w:r>
    <w:r>
      <w:tab/>
    </w:r>
    <w:r>
      <w:fldChar w:fldCharType="begin"/>
    </w:r>
    <w:r>
      <w:instrText xml:space="preserve"> PAGE </w:instrTex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420" w:hanging="240"/>
      </w:pPr>
      <w:rPr>
        <w:rFonts w:ascii="Symbol" w:hAnsi="Symbol"/>
      </w:r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updateFields w:val="true"/>
</w:settings>
</file>

<file path=word/styles.xml><?xml version="1.0" encoding="utf-8"?>
<w:styles xmlns:w="http://schemas.openxmlformats.org/wordprocessingml/2006/main">
  <w:docDefaults>
    <w:rPrDefault>
      <w:rPr>
        <w:rFonts w:ascii="Aptos" w:hAnsi="Aptos" w:eastAsia="Aptos"/>
        <w:color w:val="24352D"/>
        <w:sz w:val="20"/>
      </w:rPr>
    </w:rPrDefault>
    <w:pPrDefault>
      <w:pPr>
        <w:spacing w:after="100" w:line="276" w:lineRule="auto"/>
      </w:pPr>
    </w:pPrDefault>
  </w:docDefaults>
  <w:style w:type="paragraph" w:styleId="Normal">
    <w:name w:val="Normal"/>
    <w:qFormat/>
  </w:style>
  <w:style w:type="paragraph" w:styleId="Heading1">
    <w:name w:val="heading 1"/>
    <w:basedOn w:val="Normal"/>
    <w:next w:val="Normal"/>
    <w:qFormat/>
    <w:pPr>
      <w:outlineLvl w:val="0"/>
    </w:pPr>
    <w:rPr>
      <w:b/>
      <w:color w:val="183C31"/>
      <w:sz w:val="30"/>
    </w:rPr>
  </w:style>
  <w:style w:type="paragraph" w:styleId="Heading2">
    <w:name w:val="heading 2"/>
    <w:basedOn w:val="Normal"/>
    <w:next w:val="Normal"/>
    <w:qFormat/>
    <w:pPr>
      <w:outlineLvl w:val="1"/>
    </w:pPr>
    <w:rPr>
      <w:b/>
      <w:color w:val="8A6720"/>
      <w:sz w:val="23"/>
    </w:rPr>
  </w:style>
  <w:style w:type="paragraph" w:styleId="ListParagraph">
    <w:name w:val="List Paragraph"/>
    <w:basedOn w:val="Normal"/>
    <w:pPr>
      <w:ind w:left="420" w:hanging="240"/>
    </w:pPr>
  </w:style>
  <w:style w:type="character" w:styleId="Hyperlink">
    <w:name w:val="Hyperlink"/>
    <w:rPr>
      <w:color w:val="176B57"/>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Footer" Type="http://schemas.openxmlformats.org/officeDocument/2006/relationships/footer" Target="footer.xml"/><Relationship Id="rId3" Type="http://schemas.openxmlformats.org/officeDocument/2006/relationships/hyperlink" Target="https://support.google.com/googleplay/android-developer/answer/11926878?hl=fr" TargetMode="External"/><Relationship Id="rId4" Type="http://schemas.openxmlformats.org/officeDocument/2006/relationships/hyperlink" Target="https://support.google.com/googleplay/android-developer/answer/14151465?hl=fr" TargetMode="External"/><Relationship Id="rId5" Type="http://schemas.openxmlformats.org/officeDocument/2006/relationships/hyperlink" Target="https://support.google.com/googleplay/android-developer/answer/9859152?hl=fr" TargetMode="External"/><Relationship Id="rId6" Type="http://schemas.openxmlformats.org/officeDocument/2006/relationships/hyperlink" Target="https://support.google.com/googleplay/android-developer/answer/10787469?hl=fr" TargetMode="External"/><Relationship Id="rId7" Type="http://schemas.openxmlformats.org/officeDocument/2006/relationships/hyperlink" Target="https://support.google.com/googleplay/android-developer/answer/10144311?hl=fr" TargetMode="External"/><Relationship Id="rId8" Type="http://schemas.openxmlformats.org/officeDocument/2006/relationships/hyperlink" Target="https://support.google.com/googleplay/android-developer/answer/13327111?hl=fr" TargetMode="External"/><Relationship Id="rId9" Type="http://schemas.openxmlformats.org/officeDocument/2006/relationships/hyperlink" Target="https://support.google.com/googleplay/android-developer/answer/9858738?hl=fr" TargetMode="External"/><Relationship Id="rId10" Type="http://schemas.openxmlformats.org/officeDocument/2006/relationships/hyperlink" Target="https://support.google.com/googleplay/android-developer/topic/3452890?hl=fr" TargetMode="External"/></Relationships>
</file>

<file path=docProps/app.xml><?xml version="1.0" encoding="utf-8"?>
<Properties xmlns="http://schemas.openxmlformats.org/officeDocument/2006/extended-properties" xmlns:vt="http://schemas.openxmlformats.org/officeDocument/2006/docPropsVTypes">
  <Application>Microsoft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Guide de préparation Google Play — Les Plantes Sacrées d’Afrique de l’Ouest</dc:title>
  <dc:subject>Préparation de publication, conformité et informations à compléter</dc:subject>
  <dc:language>fr-FR</dc:language>
  <dc:creator>Replit Agent</dc:creator>
  <dcterms:created xsi:type="dcterms:W3CDTF">2026-09-29T00:00:00Z</dcterms:created>
</cp:coreProperties>
</file>