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97FED">
      <w:pPr>
        <w:pStyle w:val="5"/>
        <w:jc w:val="center"/>
        <w:rPr>
          <w:rFonts w:hint="eastAsia" w:ascii="等线" w:hAnsi="等线" w:eastAsia="等线" w:cs="等线"/>
          <w:b/>
          <w:bCs/>
          <w:color w:val="auto"/>
          <w:sz w:val="48"/>
          <w:szCs w:val="48"/>
          <w:lang w:val="en-US" w:eastAsia="zh-CN" w:bidi="ar-SA"/>
        </w:rPr>
      </w:pPr>
      <w:bookmarkStart w:id="0" w:name="从生态伤疤到赣南脐橙的辩证突围"/>
    </w:p>
    <w:p w14:paraId="538089EA">
      <w:pPr>
        <w:pStyle w:val="5"/>
        <w:jc w:val="center"/>
        <w:rPr>
          <w:rFonts w:hint="eastAsia" w:ascii="等线" w:hAnsi="等线" w:eastAsia="等线" w:cs="等线"/>
          <w:b/>
          <w:bCs/>
          <w:color w:val="auto"/>
          <w:sz w:val="48"/>
          <w:szCs w:val="48"/>
          <w:lang w:val="en-US" w:eastAsia="zh-CN" w:bidi="ar-SA"/>
        </w:rPr>
      </w:pPr>
    </w:p>
    <w:p w14:paraId="67167483">
      <w:pPr>
        <w:pStyle w:val="5"/>
        <w:jc w:val="center"/>
        <w:rPr>
          <w:rFonts w:hint="eastAsia" w:ascii="等线" w:hAnsi="等线" w:eastAsia="等线" w:cs="等线"/>
          <w:b/>
          <w:bCs/>
          <w:color w:val="auto"/>
          <w:sz w:val="48"/>
          <w:szCs w:val="48"/>
          <w:lang w:val="en-US" w:eastAsia="zh-CN" w:bidi="ar-SA"/>
        </w:rPr>
      </w:pPr>
      <w:r>
        <w:rPr>
          <w:rFonts w:hint="eastAsia" w:ascii="等线" w:hAnsi="等线" w:eastAsia="等线" w:cs="等线"/>
          <w:b/>
          <w:bCs/>
          <w:color w:val="auto"/>
          <w:sz w:val="48"/>
          <w:szCs w:val="48"/>
          <w:lang w:val="en-US" w:eastAsia="zh-CN" w:bidi="ar-SA"/>
        </w:rPr>
        <w:t>实践报告</w:t>
      </w:r>
    </w:p>
    <w:p w14:paraId="27ADC0D1">
      <w:pPr>
        <w:pStyle w:val="5"/>
        <w:jc w:val="center"/>
        <w:rPr>
          <w:rFonts w:hint="default" w:ascii="等线" w:hAnsi="等线" w:eastAsia="等线" w:cs="等线"/>
          <w:b/>
          <w:bCs/>
          <w:color w:val="auto"/>
          <w:sz w:val="48"/>
          <w:szCs w:val="48"/>
          <w:lang w:val="en-US" w:eastAsia="zh-CN" w:bidi="ar-SA"/>
        </w:rPr>
      </w:pPr>
      <w:r>
        <w:rPr>
          <w:rFonts w:hint="eastAsia" w:ascii="等线" w:hAnsi="等线" w:eastAsia="等线" w:cs="等线"/>
          <w:b/>
          <w:bCs/>
          <w:color w:val="auto"/>
          <w:sz w:val="48"/>
          <w:szCs w:val="48"/>
          <w:lang w:val="en-US" w:eastAsia="zh-CN" w:bidi="ar-SA"/>
        </w:rPr>
        <w:t>学习贯彻党的二十届四中全会精神，讲述家乡的思政故事</w:t>
      </w:r>
    </w:p>
    <w:p w14:paraId="3EACBE89">
      <w:pPr>
        <w:pStyle w:val="5"/>
        <w:jc w:val="center"/>
        <w:rPr>
          <w:rFonts w:hint="eastAsia" w:ascii="等线" w:hAnsi="等线" w:eastAsia="等线" w:cs="等线"/>
          <w:b/>
          <w:bCs/>
          <w:color w:val="auto"/>
          <w:sz w:val="48"/>
          <w:szCs w:val="48"/>
          <w:lang w:val="en-US" w:eastAsia="zh-CN" w:bidi="ar-SA"/>
        </w:rPr>
      </w:pPr>
    </w:p>
    <w:p w14:paraId="435604CB">
      <w:pPr>
        <w:pStyle w:val="5"/>
        <w:jc w:val="center"/>
        <w:rPr>
          <w:rFonts w:hint="eastAsia" w:ascii="等线" w:hAnsi="等线" w:eastAsia="等线" w:cs="等线"/>
          <w:b/>
          <w:bCs/>
          <w:color w:val="auto"/>
          <w:sz w:val="36"/>
          <w:szCs w:val="36"/>
          <w:lang w:val="en-US" w:eastAsia="zh-CN" w:bidi="ar-SA"/>
        </w:rPr>
      </w:pPr>
      <w:r>
        <w:rPr>
          <w:rFonts w:hint="eastAsia" w:ascii="等线" w:hAnsi="等线" w:eastAsia="等线" w:cs="等线"/>
          <w:b/>
          <w:bCs/>
          <w:color w:val="auto"/>
          <w:sz w:val="36"/>
          <w:szCs w:val="36"/>
          <w:lang w:val="en-US" w:eastAsia="zh-CN" w:bidi="ar-SA"/>
        </w:rPr>
        <w:t>文章选题：</w:t>
      </w:r>
      <w:bookmarkStart w:id="1" w:name="Xeb1cc89e4a170ed15ff728bdc80bc62226ec110"/>
      <w:r>
        <w:rPr>
          <w:rFonts w:hint="eastAsia" w:ascii="等线" w:hAnsi="等线" w:eastAsia="等线" w:cs="等线"/>
          <w:b/>
          <w:bCs/>
          <w:color w:val="auto"/>
          <w:sz w:val="36"/>
          <w:szCs w:val="36"/>
          <w:lang w:val="en-US" w:eastAsia="zh-CN" w:bidi="ar-SA"/>
        </w:rPr>
        <w:t>绿色生态与辩证法 —— 从“荒山秃岭”到“金山银山”的辩证转化</w:t>
      </w:r>
    </w:p>
    <w:p w14:paraId="41B39AE3">
      <w:pPr>
        <w:pStyle w:val="3"/>
        <w:rPr>
          <w:rFonts w:hint="eastAsia" w:ascii="等线" w:hAnsi="等线" w:eastAsia="等线" w:cs="等线"/>
          <w:b/>
          <w:bCs/>
          <w:color w:val="auto"/>
          <w:sz w:val="48"/>
          <w:szCs w:val="48"/>
          <w:lang w:val="en-US" w:eastAsia="zh-CN" w:bidi="ar-SA"/>
        </w:rPr>
      </w:pPr>
    </w:p>
    <w:p w14:paraId="598799CF">
      <w:pPr>
        <w:pStyle w:val="3"/>
        <w:rPr>
          <w:rFonts w:hint="eastAsia" w:ascii="等线" w:hAnsi="等线" w:eastAsia="等线" w:cs="等线"/>
          <w:color w:val="auto"/>
          <w:sz w:val="28"/>
          <w:szCs w:val="28"/>
          <w:lang w:val="en-US" w:eastAsia="zh-CN" w:bidi="ar-SA"/>
        </w:rPr>
      </w:pPr>
    </w:p>
    <w:p w14:paraId="64B93CBA">
      <w:pPr>
        <w:pStyle w:val="23"/>
        <w:jc w:val="center"/>
        <w:rPr>
          <w:rFonts w:hint="eastAsia" w:ascii="微软雅黑" w:hAnsi="微软雅黑" w:eastAsia="微软雅黑" w:cs="微软雅黑"/>
          <w:sz w:val="32"/>
          <w:szCs w:val="32"/>
        </w:rPr>
      </w:pPr>
    </w:p>
    <w:p w14:paraId="5D478D07">
      <w:pPr>
        <w:pStyle w:val="3"/>
        <w:jc w:val="center"/>
        <w:rPr>
          <w:rFonts w:hint="default" w:ascii="微软雅黑" w:hAnsi="微软雅黑" w:eastAsia="微软雅黑" w:cs="微软雅黑"/>
          <w:sz w:val="28"/>
          <w:szCs w:val="28"/>
          <w:u w:val="single"/>
          <w:lang w:val="en-US" w:eastAsia="zh-CN"/>
        </w:rPr>
      </w:pPr>
      <w:r>
        <w:rPr>
          <w:rFonts w:hint="eastAsia" w:ascii="微软雅黑" w:hAnsi="微软雅黑" w:eastAsia="微软雅黑" w:cs="微软雅黑"/>
          <w:b/>
          <w:bCs/>
          <w:sz w:val="28"/>
          <w:szCs w:val="28"/>
        </w:rPr>
        <w:t>学生姓名：</w:t>
      </w:r>
      <w:r>
        <w:rPr>
          <w:rFonts w:hint="eastAsia" w:ascii="微软雅黑" w:hAnsi="微软雅黑" w:eastAsia="微软雅黑" w:cs="微软雅黑"/>
          <w:sz w:val="28"/>
          <w:szCs w:val="28"/>
          <w:u w:val="single"/>
        </w:rPr>
        <w:t xml:space="preserve"> </w:t>
      </w:r>
      <w:r>
        <w:rPr>
          <w:rFonts w:hint="eastAsia" w:ascii="微软雅黑" w:hAnsi="微软雅黑" w:eastAsia="微软雅黑" w:cs="微软雅黑"/>
          <w:sz w:val="28"/>
          <w:szCs w:val="28"/>
          <w:u w:val="single"/>
          <w:lang w:val="en-US" w:eastAsia="zh-CN"/>
        </w:rPr>
        <w:t xml:space="preserve">   </w:t>
      </w:r>
      <w:r>
        <w:rPr>
          <w:rFonts w:hint="eastAsia" w:ascii="微软雅黑" w:hAnsi="微软雅黑" w:eastAsia="微软雅黑" w:cs="微软雅黑"/>
          <w:sz w:val="28"/>
          <w:szCs w:val="28"/>
          <w:u w:val="single"/>
          <w:lang w:val="en-US" w:eastAsia="zh-CN"/>
        </w:rPr>
        <w:tab/>
        <w:t/>
      </w:r>
      <w:r>
        <w:rPr>
          <w:rFonts w:hint="eastAsia" w:ascii="微软雅黑" w:hAnsi="微软雅黑" w:eastAsia="微软雅黑" w:cs="微软雅黑"/>
          <w:sz w:val="28"/>
          <w:szCs w:val="28"/>
          <w:u w:val="single"/>
          <w:lang w:val="en-US" w:eastAsia="zh-CN"/>
        </w:rPr>
        <w:tab/>
      </w:r>
      <w:r>
        <w:rPr>
          <w:rFonts w:hint="eastAsia" w:ascii="微软雅黑" w:hAnsi="微软雅黑" w:eastAsia="微软雅黑" w:cs="微软雅黑"/>
          <w:sz w:val="28"/>
          <w:szCs w:val="28"/>
          <w:u w:val="single"/>
          <w:lang w:val="en-US" w:eastAsia="zh-CN"/>
        </w:rPr>
        <w:t>杨龙驹</w:t>
      </w:r>
      <w:r>
        <w:rPr>
          <w:rFonts w:hint="eastAsia" w:ascii="微软雅黑" w:hAnsi="微软雅黑" w:eastAsia="微软雅黑" w:cs="微软雅黑"/>
          <w:sz w:val="28"/>
          <w:szCs w:val="28"/>
          <w:u w:val="single"/>
          <w:lang w:val="en-US" w:eastAsia="zh-CN"/>
        </w:rPr>
        <w:tab/>
        <w:t/>
      </w:r>
      <w:r>
        <w:rPr>
          <w:rFonts w:hint="eastAsia" w:ascii="微软雅黑" w:hAnsi="微软雅黑" w:eastAsia="微软雅黑" w:cs="微软雅黑"/>
          <w:sz w:val="28"/>
          <w:szCs w:val="28"/>
          <w:u w:val="single"/>
          <w:lang w:val="en-US" w:eastAsia="zh-CN"/>
        </w:rPr>
        <w:tab/>
      </w:r>
      <w:bookmarkStart w:id="12" w:name="_GoBack"/>
      <w:bookmarkEnd w:id="12"/>
      <w:r>
        <w:rPr>
          <w:rFonts w:hint="eastAsia" w:ascii="微软雅黑" w:hAnsi="微软雅黑" w:eastAsia="微软雅黑" w:cs="微软雅黑"/>
          <w:sz w:val="28"/>
          <w:szCs w:val="28"/>
          <w:u w:val="single"/>
          <w:lang w:val="en-US" w:eastAsia="zh-CN"/>
        </w:rPr>
        <w:tab/>
        <w:t/>
      </w:r>
      <w:r>
        <w:rPr>
          <w:rFonts w:hint="eastAsia" w:ascii="微软雅黑" w:hAnsi="微软雅黑" w:eastAsia="微软雅黑" w:cs="微软雅黑"/>
          <w:sz w:val="28"/>
          <w:szCs w:val="28"/>
          <w:u w:val="single"/>
          <w:lang w:val="en-US" w:eastAsia="zh-CN"/>
        </w:rPr>
        <w:tab/>
      </w:r>
    </w:p>
    <w:p w14:paraId="7C996345">
      <w:pPr>
        <w:pStyle w:val="3"/>
        <w:jc w:val="center"/>
        <w:rPr>
          <w:rFonts w:hint="eastAsia" w:ascii="微软雅黑" w:hAnsi="微软雅黑" w:eastAsia="微软雅黑" w:cs="微软雅黑"/>
          <w:sz w:val="28"/>
          <w:szCs w:val="28"/>
          <w:u w:val="single"/>
          <w:lang w:val="en-US" w:eastAsia="zh-CN"/>
        </w:rPr>
      </w:pPr>
      <w:r>
        <w:rPr>
          <w:rFonts w:hint="eastAsia" w:ascii="微软雅黑" w:hAnsi="微软雅黑" w:eastAsia="微软雅黑" w:cs="微软雅黑"/>
          <w:b/>
          <w:bCs/>
          <w:sz w:val="28"/>
          <w:szCs w:val="28"/>
        </w:rPr>
        <w:t>所在学院：</w:t>
      </w:r>
      <w:r>
        <w:rPr>
          <w:rFonts w:hint="eastAsia" w:ascii="微软雅黑" w:hAnsi="微软雅黑" w:eastAsia="微软雅黑" w:cs="微软雅黑"/>
          <w:sz w:val="28"/>
          <w:szCs w:val="28"/>
          <w:u w:val="single"/>
        </w:rPr>
        <w:t xml:space="preserve"> </w:t>
      </w:r>
      <w:r>
        <w:rPr>
          <w:rFonts w:hint="eastAsia" w:ascii="微软雅黑" w:hAnsi="微软雅黑" w:eastAsia="微软雅黑" w:cs="微软雅黑"/>
          <w:sz w:val="28"/>
          <w:szCs w:val="28"/>
          <w:u w:val="single"/>
          <w:lang w:val="en-US" w:eastAsia="zh-CN"/>
        </w:rPr>
        <w:t>计算机学院（国家示范性软件工程学院）</w:t>
      </w:r>
    </w:p>
    <w:p w14:paraId="5821EA84">
      <w:pPr>
        <w:pStyle w:val="3"/>
        <w:jc w:val="center"/>
        <w:rPr>
          <w:rFonts w:hint="default" w:ascii="微软雅黑" w:hAnsi="微软雅黑" w:eastAsia="微软雅黑" w:cs="微软雅黑"/>
          <w:sz w:val="28"/>
          <w:szCs w:val="28"/>
          <w:lang w:val="en-US" w:eastAsia="zh-CN"/>
        </w:rPr>
      </w:pPr>
      <w:r>
        <w:rPr>
          <w:rFonts w:hint="eastAsia" w:ascii="微软雅黑" w:hAnsi="微软雅黑" w:eastAsia="微软雅黑" w:cs="微软雅黑"/>
          <w:b/>
          <w:bCs/>
          <w:sz w:val="28"/>
          <w:szCs w:val="28"/>
        </w:rPr>
        <w:t>专业班级</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b/>
          <w:bCs/>
          <w:sz w:val="28"/>
          <w:szCs w:val="28"/>
          <w:u w:val="single"/>
          <w:lang w:val="en-US" w:eastAsia="zh-CN"/>
        </w:rPr>
        <w:tab/>
        <w:t/>
      </w:r>
      <w:r>
        <w:rPr>
          <w:rFonts w:hint="eastAsia" w:ascii="微软雅黑" w:hAnsi="微软雅黑" w:eastAsia="微软雅黑" w:cs="微软雅黑"/>
          <w:b/>
          <w:bCs/>
          <w:sz w:val="28"/>
          <w:szCs w:val="28"/>
          <w:u w:val="single"/>
          <w:lang w:val="en-US" w:eastAsia="zh-CN"/>
        </w:rPr>
        <w:tab/>
        <w:t/>
      </w:r>
      <w:r>
        <w:rPr>
          <w:rFonts w:hint="eastAsia" w:ascii="微软雅黑" w:hAnsi="微软雅黑" w:eastAsia="微软雅黑" w:cs="微软雅黑"/>
          <w:b/>
          <w:bCs/>
          <w:sz w:val="28"/>
          <w:szCs w:val="28"/>
          <w:u w:val="single"/>
          <w:lang w:val="en-US" w:eastAsia="zh-CN"/>
        </w:rPr>
        <w:tab/>
      </w:r>
      <w:r>
        <w:rPr>
          <w:rFonts w:hint="eastAsia" w:ascii="微软雅黑" w:hAnsi="微软雅黑" w:eastAsia="微软雅黑" w:cs="微软雅黑"/>
          <w:b w:val="0"/>
          <w:bCs w:val="0"/>
          <w:sz w:val="28"/>
          <w:szCs w:val="28"/>
          <w:u w:val="single"/>
          <w:lang w:val="en-US" w:eastAsia="zh-CN"/>
        </w:rPr>
        <w:t>2024211308</w:t>
      </w:r>
      <w:r>
        <w:rPr>
          <w:rFonts w:hint="eastAsia" w:ascii="微软雅黑" w:hAnsi="微软雅黑" w:eastAsia="微软雅黑" w:cs="微软雅黑"/>
          <w:b w:val="0"/>
          <w:bCs w:val="0"/>
          <w:sz w:val="28"/>
          <w:szCs w:val="28"/>
          <w:u w:val="single"/>
          <w:lang w:val="en-US" w:eastAsia="zh-CN"/>
        </w:rPr>
        <w:tab/>
        <w:t/>
      </w:r>
      <w:r>
        <w:rPr>
          <w:rFonts w:hint="eastAsia" w:ascii="微软雅黑" w:hAnsi="微软雅黑" w:eastAsia="微软雅黑" w:cs="微软雅黑"/>
          <w:b w:val="0"/>
          <w:bCs w:val="0"/>
          <w:sz w:val="28"/>
          <w:szCs w:val="28"/>
          <w:u w:val="single"/>
          <w:lang w:val="en-US" w:eastAsia="zh-CN"/>
        </w:rPr>
        <w:tab/>
        <w:t/>
      </w:r>
      <w:r>
        <w:rPr>
          <w:rFonts w:hint="eastAsia" w:ascii="微软雅黑" w:hAnsi="微软雅黑" w:eastAsia="微软雅黑" w:cs="微软雅黑"/>
          <w:b w:val="0"/>
          <w:bCs w:val="0"/>
          <w:sz w:val="28"/>
          <w:szCs w:val="28"/>
          <w:u w:val="single"/>
          <w:lang w:val="en-US" w:eastAsia="zh-CN"/>
        </w:rPr>
        <w:tab/>
      </w:r>
    </w:p>
    <w:p w14:paraId="343495FC">
      <w:pPr>
        <w:pStyle w:val="3"/>
        <w:jc w:val="center"/>
        <w:rPr>
          <w:rFonts w:hint="default" w:ascii="微软雅黑" w:hAnsi="微软雅黑" w:eastAsia="微软雅黑" w:cs="微软雅黑"/>
          <w:sz w:val="28"/>
          <w:szCs w:val="28"/>
          <w:lang w:val="en-US" w:eastAsia="zh-CN"/>
        </w:rPr>
      </w:pPr>
      <w:r>
        <w:rPr>
          <w:rFonts w:hint="eastAsia" w:ascii="微软雅黑" w:hAnsi="微软雅黑" w:eastAsia="微软雅黑" w:cs="微软雅黑"/>
          <w:b/>
          <w:bCs/>
          <w:sz w:val="28"/>
          <w:szCs w:val="28"/>
        </w:rPr>
        <w:t>学</w:t>
      </w:r>
      <w:r>
        <w:rPr>
          <w:rFonts w:hint="eastAsia" w:ascii="微软雅黑" w:hAnsi="微软雅黑" w:eastAsia="微软雅黑" w:cs="微软雅黑"/>
          <w:b/>
          <w:bCs/>
          <w:sz w:val="28"/>
          <w:szCs w:val="28"/>
          <w:lang w:val="en-US" w:eastAsia="zh-CN"/>
        </w:rPr>
        <w:tab/>
      </w:r>
      <w:r>
        <w:rPr>
          <w:rFonts w:hint="eastAsia" w:ascii="微软雅黑" w:hAnsi="微软雅黑" w:eastAsia="微软雅黑" w:cs="微软雅黑"/>
          <w:b/>
          <w:bCs/>
          <w:sz w:val="28"/>
          <w:szCs w:val="28"/>
        </w:rPr>
        <w:t>号</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sz w:val="28"/>
          <w:szCs w:val="28"/>
          <w:lang w:val="en-US" w:eastAsia="zh-CN"/>
        </w:rPr>
        <w:tab/>
      </w:r>
      <w:r>
        <w:rPr>
          <w:rFonts w:hint="eastAsia" w:ascii="微软雅黑" w:hAnsi="微软雅黑" w:eastAsia="微软雅黑" w:cs="微软雅黑"/>
          <w:sz w:val="28"/>
          <w:szCs w:val="28"/>
          <w:u w:val="single"/>
          <w:lang w:val="en-US" w:eastAsia="zh-CN"/>
        </w:rPr>
        <w:tab/>
        <w:t/>
      </w:r>
      <w:r>
        <w:rPr>
          <w:rFonts w:hint="eastAsia" w:ascii="微软雅黑" w:hAnsi="微软雅黑" w:eastAsia="微软雅黑" w:cs="微软雅黑"/>
          <w:sz w:val="28"/>
          <w:szCs w:val="28"/>
          <w:u w:val="single"/>
          <w:lang w:val="en-US" w:eastAsia="zh-CN"/>
        </w:rPr>
        <w:tab/>
        <w:t>2024211139</w:t>
      </w:r>
      <w:r>
        <w:rPr>
          <w:rFonts w:hint="eastAsia" w:ascii="微软雅黑" w:hAnsi="微软雅黑" w:eastAsia="微软雅黑" w:cs="微软雅黑"/>
          <w:sz w:val="28"/>
          <w:szCs w:val="28"/>
          <w:u w:val="single"/>
          <w:lang w:val="en-US" w:eastAsia="zh-CN"/>
        </w:rPr>
        <w:tab/>
        <w:t/>
      </w:r>
      <w:r>
        <w:rPr>
          <w:rFonts w:hint="eastAsia" w:ascii="微软雅黑" w:hAnsi="微软雅黑" w:eastAsia="微软雅黑" w:cs="微软雅黑"/>
          <w:sz w:val="28"/>
          <w:szCs w:val="28"/>
          <w:u w:val="single"/>
          <w:lang w:val="en-US" w:eastAsia="zh-CN"/>
        </w:rPr>
        <w:tab/>
        <w:t/>
      </w:r>
      <w:r>
        <w:rPr>
          <w:rFonts w:hint="eastAsia" w:ascii="微软雅黑" w:hAnsi="微软雅黑" w:eastAsia="微软雅黑" w:cs="微软雅黑"/>
          <w:sz w:val="28"/>
          <w:szCs w:val="28"/>
          <w:u w:val="single"/>
          <w:lang w:val="en-US" w:eastAsia="zh-CN"/>
        </w:rPr>
        <w:tab/>
      </w:r>
    </w:p>
    <w:p w14:paraId="45D5E58A">
      <w:pPr>
        <w:pStyle w:val="3"/>
        <w:jc w:val="right"/>
        <w:rPr>
          <w:rFonts w:hint="eastAsia" w:ascii="微软雅黑" w:hAnsi="微软雅黑" w:eastAsia="微软雅黑" w:cs="微软雅黑"/>
          <w:sz w:val="32"/>
          <w:szCs w:val="32"/>
        </w:rPr>
      </w:pPr>
    </w:p>
    <w:p w14:paraId="3185B802">
      <w:pPr>
        <w:pStyle w:val="3"/>
        <w:jc w:val="right"/>
        <w:rPr>
          <w:rFonts w:hint="eastAsia" w:ascii="微软雅黑" w:hAnsi="微软雅黑" w:eastAsia="微软雅黑" w:cs="微软雅黑"/>
          <w:sz w:val="32"/>
          <w:szCs w:val="32"/>
        </w:rPr>
      </w:pPr>
    </w:p>
    <w:p w14:paraId="3A8BD5D2">
      <w:pPr>
        <w:pStyle w:val="3"/>
        <w:jc w:val="right"/>
        <w:rPr>
          <w:rFonts w:hint="eastAsia" w:ascii="等线" w:hAnsi="等线" w:eastAsia="等线" w:cs="等线"/>
          <w:color w:val="auto"/>
          <w:sz w:val="28"/>
          <w:szCs w:val="28"/>
          <w:lang w:val="en-US" w:eastAsia="zh-CN" w:bidi="ar-SA"/>
        </w:rPr>
      </w:pPr>
      <w:r>
        <w:rPr>
          <w:rFonts w:hint="eastAsia" w:ascii="微软雅黑" w:hAnsi="微软雅黑" w:eastAsia="微软雅黑" w:cs="微软雅黑"/>
          <w:sz w:val="24"/>
          <w:szCs w:val="24"/>
        </w:rPr>
        <w:t>202</w:t>
      </w:r>
      <w:r>
        <w:rPr>
          <w:rFonts w:hint="eastAsia" w:ascii="微软雅黑" w:hAnsi="微软雅黑" w:eastAsia="微软雅黑" w:cs="微软雅黑"/>
          <w:sz w:val="24"/>
          <w:szCs w:val="24"/>
          <w:lang w:val="en-US" w:eastAsia="zh-CN"/>
        </w:rPr>
        <w:t>5</w:t>
      </w:r>
      <w:r>
        <w:rPr>
          <w:rFonts w:hint="eastAsia" w:ascii="微软雅黑" w:hAnsi="微软雅黑" w:eastAsia="微软雅黑" w:cs="微软雅黑"/>
          <w:sz w:val="24"/>
          <w:szCs w:val="24"/>
        </w:rPr>
        <w:t>年</w:t>
      </w:r>
      <w:r>
        <w:rPr>
          <w:rFonts w:hint="eastAsia" w:ascii="微软雅黑" w:hAnsi="微软雅黑" w:eastAsia="微软雅黑" w:cs="微软雅黑"/>
          <w:sz w:val="24"/>
          <w:szCs w:val="24"/>
          <w:lang w:val="en-US" w:eastAsia="zh-CN"/>
        </w:rPr>
        <w:t>10</w:t>
      </w:r>
      <w:r>
        <w:rPr>
          <w:rFonts w:hint="eastAsia" w:ascii="微软雅黑" w:hAnsi="微软雅黑" w:eastAsia="微软雅黑" w:cs="微软雅黑"/>
          <w:sz w:val="24"/>
          <w:szCs w:val="24"/>
        </w:rPr>
        <w:t>月</w:t>
      </w:r>
      <w:r>
        <w:rPr>
          <w:rFonts w:hint="eastAsia" w:ascii="微软雅黑" w:hAnsi="微软雅黑" w:eastAsia="微软雅黑" w:cs="微软雅黑"/>
          <w:sz w:val="24"/>
          <w:szCs w:val="24"/>
          <w:lang w:val="en-US" w:eastAsia="zh-CN"/>
        </w:rPr>
        <w:t>27</w:t>
      </w:r>
      <w:r>
        <w:rPr>
          <w:rFonts w:hint="eastAsia" w:ascii="微软雅黑" w:hAnsi="微软雅黑" w:eastAsia="微软雅黑" w:cs="微软雅黑"/>
          <w:sz w:val="24"/>
          <w:szCs w:val="24"/>
        </w:rPr>
        <w:t>日</w:t>
      </w:r>
      <w:bookmarkStart w:id="2" w:name="内容提要"/>
    </w:p>
    <w:p w14:paraId="0571F031">
      <w:pPr>
        <w:pStyle w:val="5"/>
        <w:jc w:val="center"/>
        <w:rPr>
          <w:rFonts w:hint="eastAsia" w:ascii="等线" w:hAnsi="等线" w:eastAsia="等线" w:cs="等线"/>
          <w:b/>
          <w:bCs/>
          <w:color w:val="auto"/>
          <w:sz w:val="28"/>
          <w:szCs w:val="28"/>
          <w:lang w:val="en-US" w:eastAsia="zh-CN" w:bidi="ar-SA"/>
        </w:rPr>
      </w:pPr>
      <w:r>
        <w:rPr>
          <w:rFonts w:hint="eastAsia" w:ascii="等线" w:hAnsi="等线" w:eastAsia="等线" w:cs="等线"/>
          <w:b/>
          <w:bCs/>
          <w:color w:val="auto"/>
          <w:sz w:val="28"/>
          <w:szCs w:val="28"/>
          <w:lang w:val="en-US" w:eastAsia="zh-CN" w:bidi="ar-SA"/>
        </w:rPr>
        <w:t>从“生态伤疤”到“赣南脐橙”的辩证突围</w:t>
      </w:r>
    </w:p>
    <w:p w14:paraId="42058858">
      <w:pPr>
        <w:pStyle w:val="5"/>
        <w:jc w:val="center"/>
        <w:rPr>
          <w:rFonts w:hint="eastAsia" w:ascii="等线" w:hAnsi="等线" w:eastAsia="等线" w:cs="等线"/>
          <w:b/>
          <w:bCs/>
          <w:color w:val="auto"/>
          <w:sz w:val="28"/>
          <w:szCs w:val="28"/>
          <w:lang w:val="en-US" w:eastAsia="zh-CN" w:bidi="ar-SA"/>
        </w:rPr>
      </w:pPr>
      <w:r>
        <w:rPr>
          <w:rFonts w:hint="eastAsia" w:ascii="等线" w:hAnsi="等线" w:eastAsia="等线" w:cs="等线"/>
          <w:b/>
          <w:bCs/>
          <w:color w:val="auto"/>
          <w:sz w:val="28"/>
          <w:szCs w:val="28"/>
          <w:lang w:val="en-US" w:eastAsia="zh-CN" w:bidi="ar-SA"/>
        </w:rPr>
        <w:t>——唯物辩证法视域下赣州废弃矿山治理的实践思考</w:t>
      </w:r>
    </w:p>
    <w:p w14:paraId="4C45CBF4">
      <w:pPr>
        <w:pStyle w:val="3"/>
        <w:rPr>
          <w:rFonts w:hint="eastAsia" w:ascii="等线" w:hAnsi="等线" w:eastAsia="等线" w:cs="等线"/>
          <w:color w:val="auto"/>
          <w:sz w:val="28"/>
          <w:szCs w:val="28"/>
          <w:lang w:val="en-US" w:eastAsia="zh-CN" w:bidi="ar-SA"/>
        </w:rPr>
      </w:pPr>
      <w:r>
        <w:rPr>
          <w:rFonts w:hint="eastAsia" w:ascii="等线" w:hAnsi="等线" w:eastAsia="等线" w:cs="等线"/>
          <w:color w:val="auto"/>
          <w:sz w:val="28"/>
          <w:szCs w:val="28"/>
          <w:lang w:val="en-US" w:eastAsia="zh-CN" w:bidi="ar-SA"/>
        </w:rPr>
        <w:t>【内容提要】</w:t>
      </w:r>
    </w:p>
    <w:p w14:paraId="3F4DCDD6">
      <w:pPr>
        <w:pStyle w:val="23"/>
        <w:rPr>
          <w:rFonts w:hint="eastAsia" w:ascii="等线" w:hAnsi="等线" w:eastAsia="等线" w:cs="等线"/>
          <w:sz w:val="24"/>
          <w:szCs w:val="24"/>
        </w:rPr>
      </w:pPr>
      <w:r>
        <w:rPr>
          <w:rFonts w:hint="eastAsia" w:ascii="等线" w:hAnsi="等线" w:eastAsia="等线" w:cs="等线"/>
          <w:sz w:val="24"/>
          <w:szCs w:val="24"/>
        </w:rPr>
        <w:t>党的二十届四中全会精神强调了推进国家治理体系和治理能力现代化的重要性，其中生态文明制度建设是重中之重。我的家乡江西有一座城市赣州，曾因稀土开采留下累累伤痕，被称为“南方死海”。但这几年，赣州发生了翻天覆地的变化，昔日的废弃矿山变成了花果山、光伏园。本文立足于赣州市（特别是寻乌县）废弃矿山治理的鲜活案例，运用马克思主义唯物论、辩证法及唯物史观的基本原理，分析赣州如何实现从“生态赤字”到“绿色红利”的辩证转化，探讨“绿水青山就是金山银山”背后的哲学智慧。</w:t>
      </w:r>
    </w:p>
    <w:p w14:paraId="243C7D5D">
      <w:pPr>
        <w:pStyle w:val="3"/>
      </w:pPr>
      <w:r>
        <w:rPr>
          <w:rFonts w:hint="eastAsia"/>
          <w:b/>
          <w:bCs/>
        </w:rPr>
        <w:t>【关键词】</w:t>
      </w:r>
      <w:r>
        <w:t xml:space="preserve"> </w:t>
      </w:r>
      <w:r>
        <w:rPr>
          <w:rFonts w:hint="eastAsia"/>
        </w:rPr>
        <w:t>赣州；废弃矿山治理；唯物辩证法；生态文明；两山理论</w:t>
      </w:r>
    </w:p>
    <w:bookmarkEnd w:id="2"/>
    <w:p w14:paraId="30C25EC5">
      <w:pPr>
        <w:pStyle w:val="23"/>
        <w:rPr>
          <w:rFonts w:hint="eastAsia" w:ascii="等线" w:hAnsi="等线" w:eastAsia="等线" w:cs="等线"/>
          <w:sz w:val="28"/>
          <w:szCs w:val="28"/>
        </w:rPr>
      </w:pPr>
      <w:bookmarkStart w:id="3" w:name="一-引言"/>
      <w:r>
        <w:rPr>
          <w:rFonts w:hint="eastAsia" w:ascii="等线" w:hAnsi="等线" w:eastAsia="等线" w:cs="等线"/>
          <w:sz w:val="28"/>
          <w:szCs w:val="28"/>
        </w:rPr>
        <w:t>一、 引言</w:t>
      </w:r>
    </w:p>
    <w:p w14:paraId="0DD98078">
      <w:pPr>
        <w:pStyle w:val="23"/>
        <w:rPr>
          <w:rFonts w:hint="eastAsia" w:ascii="等线" w:hAnsi="等线" w:eastAsia="等线" w:cs="等线"/>
          <w:sz w:val="24"/>
          <w:szCs w:val="24"/>
        </w:rPr>
      </w:pPr>
      <w:r>
        <w:rPr>
          <w:rFonts w:hint="eastAsia" w:ascii="等线" w:hAnsi="等线" w:eastAsia="等线" w:cs="等线"/>
          <w:sz w:val="24"/>
          <w:szCs w:val="24"/>
        </w:rPr>
        <w:t>作为一名从江西走出来的大学生，每次假期回家，最直观的感受就是家乡的山绿水清。特别是在学习贯彻党的二十届四中全会精神的过程中，我深刻意识到，家乡的变化不仅仅是种了几株草和植了几棵树那么简单，它背后其实蕴含着深刻的制度逻辑和哲学道理。</w:t>
      </w:r>
    </w:p>
    <w:p w14:paraId="5F894D6D">
      <w:pPr>
        <w:pStyle w:val="23"/>
        <w:rPr>
          <w:rFonts w:hint="eastAsia" w:ascii="等线" w:hAnsi="等线" w:eastAsia="等线" w:cs="等线"/>
          <w:sz w:val="24"/>
          <w:szCs w:val="24"/>
        </w:rPr>
      </w:pPr>
      <w:r>
        <w:rPr>
          <w:rFonts w:hint="eastAsia" w:ascii="等线" w:hAnsi="等线" w:eastAsia="等线" w:cs="等线"/>
          <w:sz w:val="24"/>
          <w:szCs w:val="24"/>
        </w:rPr>
        <w:t>赣州素有“稀土王国”的美誉，但正如马克思主义原理说的那样，任何事物都具有两面性。曾经粗放的开采模式，虽然带来了暂时的经济利益，但也留下了惨痛的代价。据统计，赣州全市废弃稀土矿山曾多达497个，面积97.34平方公里，地表土壤酸性污染面积达60平方公里[4]。面对这样的“环境痛点”，赣州人民是如何突围的？如果结合我们马原课上学到的知识来分析，这正是一</w:t>
      </w:r>
      <w:r>
        <w:rPr>
          <w:rFonts w:hint="eastAsia" w:ascii="等线" w:hAnsi="等线" w:eastAsia="等线" w:cs="等线"/>
          <w:sz w:val="24"/>
          <w:szCs w:val="24"/>
          <w:lang w:val="en-US" w:eastAsia="zh-CN"/>
        </w:rPr>
        <w:t>堂</w:t>
      </w:r>
      <w:r>
        <w:rPr>
          <w:rFonts w:hint="eastAsia" w:ascii="等线" w:hAnsi="等线" w:eastAsia="等线" w:cs="等线"/>
          <w:sz w:val="24"/>
          <w:szCs w:val="24"/>
        </w:rPr>
        <w:t>生动的唯物辩证法实践课。</w:t>
      </w:r>
    </w:p>
    <w:bookmarkEnd w:id="3"/>
    <w:p w14:paraId="368A6886">
      <w:pPr>
        <w:pStyle w:val="23"/>
        <w:rPr>
          <w:rFonts w:hint="eastAsia" w:ascii="等线" w:hAnsi="等线" w:eastAsia="等线" w:cs="等线"/>
          <w:sz w:val="28"/>
          <w:szCs w:val="28"/>
        </w:rPr>
      </w:pPr>
      <w:bookmarkStart w:id="4" w:name="二-痛定思痛昔日白色沙漠的唯物论反思"/>
      <w:r>
        <w:rPr>
          <w:rFonts w:hint="eastAsia" w:ascii="等线" w:hAnsi="等线" w:eastAsia="等线" w:cs="等线"/>
          <w:sz w:val="28"/>
          <w:szCs w:val="28"/>
        </w:rPr>
        <w:t>二、 痛定思痛：昔日“白色沙漠”的唯物论反思</w:t>
      </w:r>
    </w:p>
    <w:p w14:paraId="3C640194">
      <w:pPr>
        <w:pStyle w:val="23"/>
        <w:rPr>
          <w:rFonts w:hint="eastAsia" w:ascii="等线" w:hAnsi="等线" w:eastAsia="等线" w:cs="等线"/>
        </w:rPr>
      </w:pPr>
      <w:r>
        <w:rPr>
          <w:rFonts w:hint="eastAsia" w:ascii="等线" w:hAnsi="等线" w:eastAsia="等线" w:cs="等线"/>
        </w:rPr>
        <w:t>记得小时候听长辈说，寻乌县有些矿区，因为稀土开采，山上光秃秃的，一下雨河水就变得浑浊不堪，被称为“白色沙漠”。可为什么会变成这样？</w:t>
      </w:r>
    </w:p>
    <w:p w14:paraId="29CCF2E4">
      <w:pPr>
        <w:pStyle w:val="23"/>
        <w:rPr>
          <w:rFonts w:hint="eastAsia" w:ascii="等线" w:hAnsi="等线" w:eastAsia="等线" w:cs="等线"/>
        </w:rPr>
      </w:pPr>
      <w:r>
        <w:rPr>
          <w:rFonts w:hint="eastAsia" w:ascii="等线" w:hAnsi="等线" w:eastAsia="等线" w:cs="等线"/>
        </w:rPr>
        <w:t>这让我联想到课本上关于“自然地理环境”的内容说到：“自然地理环境……是人类社会生存和发展永恒的、必要的条件……但人的能动作用不能脱离自然规律的轨道去盲目发挥，否则势必遭到大自然的报复和惩罚”[1]。而过去，赣州在发展中犯了一个错误，就是过分夸大了人的主观意志，忽视了自然界的客观性。那时候采用落后的“露采—池浸”工艺，虽然提取了稀土，但导致了严重的水土流失和土壤酸化。正如恩格斯所警告的那样，自然界对我们进行了“报复”：河水被污染，土地无法耕种，甚至出现了泥石流等次生地质灾害。</w:t>
      </w:r>
    </w:p>
    <w:p w14:paraId="60EA082C">
      <w:pPr>
        <w:pStyle w:val="23"/>
        <w:rPr>
          <w:rFonts w:hint="eastAsia" w:ascii="等线" w:hAnsi="等线" w:eastAsia="等线" w:cs="等线"/>
          <w:lang w:val="en-US" w:eastAsia="zh-CN"/>
        </w:rPr>
      </w:pPr>
      <w:r>
        <w:rPr>
          <w:rFonts w:hint="eastAsia" w:ascii="等线" w:hAnsi="等线" w:eastAsia="等线" w:cs="等线"/>
        </w:rPr>
        <w:t>这种“先污染后治理”的旧路，在哲学上其实是一种形而上学的发展观，它是孤立地、片面地看问题，只看到了眼前的金山银山，却把绿水青山给弄丢了。课本上关于“社会存在与社会意识”的内容提到，“社会存在决定社会意识”[1]。正是因为严峻的生态危机（社会存在）直接威胁到了赣州人民的生存和发展，才迫使大家痛定思痛，转变观念，开始探索一条新的出路。</w:t>
      </w:r>
    </w:p>
    <w:bookmarkEnd w:id="4"/>
    <w:p w14:paraId="6ADB5AFC">
      <w:pPr>
        <w:pStyle w:val="23"/>
        <w:rPr>
          <w:rFonts w:hint="eastAsia" w:ascii="等线" w:hAnsi="等线" w:eastAsia="等线" w:cs="等线"/>
          <w:sz w:val="28"/>
          <w:szCs w:val="28"/>
        </w:rPr>
      </w:pPr>
      <w:bookmarkStart w:id="5" w:name="三-辩证施治治理过程中的矛盾与能动性"/>
      <w:r>
        <w:rPr>
          <w:rFonts w:hint="eastAsia" w:ascii="等线" w:hAnsi="等线" w:eastAsia="等线" w:cs="等线"/>
          <w:sz w:val="28"/>
          <w:szCs w:val="28"/>
        </w:rPr>
        <w:t>三、 辩证施治：治理过程中的“矛盾”与“能动性”</w:t>
      </w:r>
    </w:p>
    <w:p w14:paraId="129B5834">
      <w:pPr>
        <w:pStyle w:val="23"/>
        <w:rPr>
          <w:rFonts w:hint="eastAsia" w:ascii="等线" w:hAnsi="等线" w:eastAsia="等线" w:cs="等线"/>
          <w:sz w:val="24"/>
          <w:szCs w:val="24"/>
        </w:rPr>
      </w:pPr>
      <w:r>
        <w:rPr>
          <w:rFonts w:hint="eastAsia" w:ascii="等线" w:hAnsi="等线" w:eastAsia="等线" w:cs="等线"/>
          <w:sz w:val="24"/>
          <w:szCs w:val="24"/>
        </w:rPr>
        <w:t>面对满目疮痍的废弃矿山，治理起来谈何容易？这不是简单的填坑种树，而是一个复杂的系统工程。在这个过程中，我看到了家乡人民是如何巧妙运用辩证法智慧的。</w:t>
      </w:r>
    </w:p>
    <w:p w14:paraId="5E59B252">
      <w:pPr>
        <w:pStyle w:val="23"/>
        <w:rPr>
          <w:rFonts w:hint="eastAsia" w:ascii="等线" w:hAnsi="等线" w:eastAsia="等线" w:cs="等线"/>
          <w:sz w:val="24"/>
          <w:szCs w:val="24"/>
        </w:rPr>
      </w:pPr>
      <w:bookmarkStart w:id="6" w:name="X2504d1b4ae324f2a6230cf23d862d75cebf31af"/>
      <w:r>
        <w:rPr>
          <w:rFonts w:hint="eastAsia" w:ascii="等线" w:hAnsi="等线" w:eastAsia="等线" w:cs="等线"/>
          <w:sz w:val="24"/>
          <w:szCs w:val="24"/>
        </w:rPr>
        <w:t>1. 发挥主观能动性与尊重客观规律的统一</w:t>
      </w:r>
    </w:p>
    <w:p w14:paraId="016CEF31">
      <w:pPr>
        <w:pStyle w:val="23"/>
        <w:rPr>
          <w:rFonts w:hint="eastAsia" w:ascii="等线" w:hAnsi="等线" w:eastAsia="等线" w:cs="等线"/>
          <w:sz w:val="24"/>
          <w:szCs w:val="24"/>
        </w:rPr>
      </w:pPr>
      <w:r>
        <w:rPr>
          <w:rFonts w:hint="eastAsia" w:ascii="等线" w:hAnsi="等线" w:eastAsia="等线" w:cs="等线"/>
          <w:sz w:val="24"/>
          <w:szCs w:val="24"/>
        </w:rPr>
        <w:t>治理不是蛮干。课本上关于“主观能动性与客观规律性的辩证统一”的内容指出：“尊重客观规律是正确发挥主观能动性的前提……只有充分发挥主观能动性，才能正确认识和利用客观规律”[1]。</w:t>
      </w:r>
    </w:p>
    <w:p w14:paraId="4BF491BD">
      <w:pPr>
        <w:pStyle w:val="23"/>
        <w:rPr>
          <w:rFonts w:hint="eastAsia" w:ascii="等线" w:hAnsi="等线" w:eastAsia="等线" w:cs="等线"/>
          <w:sz w:val="24"/>
          <w:szCs w:val="24"/>
        </w:rPr>
      </w:pPr>
      <w:r>
        <w:rPr>
          <w:rFonts w:hint="eastAsia" w:ascii="等线" w:hAnsi="等线" w:eastAsia="等线" w:cs="等线"/>
          <w:sz w:val="24"/>
          <w:szCs w:val="24"/>
        </w:rPr>
        <w:t>赣州在治理寻乌废弃矿山时，并没有盲目行动，而是先摸清规律。比如，针对矿山地形复杂、水土流失严重的问题，当地创新探索了“三同治”模式：山上开展地形整治、复绿；山下建设生态挡墙；流域上下游协同治理[3]。这就是充分发挥主观能动性，去认识和利用自然恢复规律的体现。如果不尊重植物生长的规律，在酸性土壤上硬种树，肯定活不了。所以当地还引入了科技手段，通过客土、增施有机肥等措施改良土壤，让“荒漠”重新变成了“绿洲”。</w:t>
      </w:r>
    </w:p>
    <w:bookmarkEnd w:id="6"/>
    <w:p w14:paraId="7E17CDA9">
      <w:pPr>
        <w:pStyle w:val="23"/>
        <w:rPr>
          <w:rFonts w:hint="eastAsia" w:ascii="等线" w:hAnsi="等线" w:eastAsia="等线" w:cs="等线"/>
          <w:sz w:val="24"/>
          <w:szCs w:val="24"/>
        </w:rPr>
      </w:pPr>
      <w:bookmarkStart w:id="7" w:name="Xc05466de6d4cbc980eefaa87e7cc3302ddf0032"/>
      <w:r>
        <w:rPr>
          <w:rFonts w:hint="eastAsia" w:ascii="等线" w:hAnsi="等线" w:eastAsia="等线" w:cs="等线"/>
          <w:sz w:val="24"/>
          <w:szCs w:val="24"/>
        </w:rPr>
        <w:t>2. 具体问题具体分析的矛盾分析法</w:t>
      </w:r>
    </w:p>
    <w:p w14:paraId="482EC52C">
      <w:pPr>
        <w:pStyle w:val="23"/>
        <w:rPr>
          <w:rFonts w:hint="eastAsia" w:ascii="等线" w:hAnsi="等线" w:eastAsia="等线" w:cs="等线"/>
          <w:sz w:val="24"/>
          <w:szCs w:val="24"/>
        </w:rPr>
      </w:pPr>
      <w:r>
        <w:rPr>
          <w:rFonts w:hint="eastAsia" w:ascii="等线" w:hAnsi="等线" w:eastAsia="等线" w:cs="等线"/>
          <w:sz w:val="24"/>
          <w:szCs w:val="24"/>
        </w:rPr>
        <w:t>矛盾的特殊性是指各个具体事物的矛盾，在本质上是不同的。因此要具体问题具体分析。</w:t>
      </w:r>
    </w:p>
    <w:p w14:paraId="3A926225">
      <w:pPr>
        <w:pStyle w:val="23"/>
      </w:pPr>
      <w:r>
        <w:rPr>
          <w:rFonts w:hint="eastAsia" w:ascii="等线" w:hAnsi="等线" w:eastAsia="等线" w:cs="等线"/>
          <w:sz w:val="24"/>
          <w:szCs w:val="24"/>
        </w:rPr>
        <w:t>赣州在治理矿山时，没有搞“一刀切”，而是根据不同矿山的实际情况，“宜林则林、宜耕则耕、宜工则工、宜水则水”[4]。比如在寻乌县石排村，因为地势平坦，就治理成工业园区，入驻了50多家企业；在安远县，修复后的矿山变成了进出口水果产业园“橙中城”；在定南县，则建成了足球训练基地和风景区。这种“一把钥匙开一把锁”的做法，正是马克思主义活的灵魂在赣南大地的生动实践。</w:t>
      </w:r>
    </w:p>
    <w:bookmarkEnd w:id="5"/>
    <w:bookmarkEnd w:id="7"/>
    <w:p w14:paraId="4118D6E7">
      <w:pPr>
        <w:pStyle w:val="23"/>
        <w:rPr>
          <w:rFonts w:hint="eastAsia" w:ascii="等线" w:hAnsi="等线" w:eastAsia="等线" w:cs="等线"/>
          <w:sz w:val="28"/>
          <w:szCs w:val="28"/>
        </w:rPr>
      </w:pPr>
      <w:bookmarkStart w:id="8" w:name="四-点绿成金两山转化的对立统一规律"/>
      <w:r>
        <w:rPr>
          <w:rFonts w:hint="eastAsia" w:ascii="等线" w:hAnsi="等线" w:eastAsia="等线" w:cs="等线"/>
          <w:sz w:val="28"/>
          <w:szCs w:val="28"/>
        </w:rPr>
        <w:t>四、 点绿成金：“两山”转化的对立统一规律</w:t>
      </w:r>
    </w:p>
    <w:p w14:paraId="0A680D2D">
      <w:pPr>
        <w:pStyle w:val="23"/>
        <w:rPr>
          <w:rFonts w:hint="eastAsia" w:ascii="等线" w:hAnsi="等线" w:eastAsia="等线" w:cs="等线"/>
          <w:sz w:val="24"/>
          <w:szCs w:val="24"/>
        </w:rPr>
      </w:pPr>
      <w:r>
        <w:rPr>
          <w:rFonts w:hint="eastAsia" w:ascii="等线" w:hAnsi="等线" w:eastAsia="等线" w:cs="等线"/>
          <w:sz w:val="24"/>
          <w:szCs w:val="24"/>
          <w:lang w:val="en-US" w:eastAsia="zh-CN"/>
        </w:rPr>
        <w:t>而通过赣州的治理历程</w:t>
      </w:r>
      <w:r>
        <w:rPr>
          <w:rFonts w:hint="eastAsia" w:ascii="等线" w:hAnsi="等线" w:eastAsia="等线" w:cs="等线"/>
          <w:sz w:val="24"/>
          <w:szCs w:val="24"/>
        </w:rPr>
        <w:t>，</w:t>
      </w:r>
      <w:r>
        <w:rPr>
          <w:rFonts w:hint="eastAsia" w:ascii="等线" w:hAnsi="等线" w:eastAsia="等线" w:cs="等线"/>
          <w:sz w:val="24"/>
          <w:szCs w:val="24"/>
          <w:lang w:val="en-US" w:eastAsia="zh-CN"/>
        </w:rPr>
        <w:t>其实就是对</w:t>
      </w:r>
      <w:r>
        <w:rPr>
          <w:rFonts w:hint="eastAsia" w:ascii="等线" w:hAnsi="等线" w:eastAsia="等线" w:cs="等线"/>
          <w:sz w:val="24"/>
          <w:szCs w:val="24"/>
        </w:rPr>
        <w:t>“绿水青山”和“金山银山”的关系</w:t>
      </w:r>
      <w:r>
        <w:rPr>
          <w:rFonts w:hint="eastAsia" w:ascii="等线" w:hAnsi="等线" w:eastAsia="等线" w:cs="等线"/>
          <w:sz w:val="24"/>
          <w:szCs w:val="24"/>
          <w:lang w:val="en-US" w:eastAsia="zh-CN"/>
        </w:rPr>
        <w:t>从片面理解到正确认识的过程的生动体现</w:t>
      </w:r>
      <w:r>
        <w:rPr>
          <w:rFonts w:hint="eastAsia" w:ascii="等线" w:hAnsi="等线" w:eastAsia="等线" w:cs="等线"/>
          <w:sz w:val="24"/>
          <w:szCs w:val="24"/>
        </w:rPr>
        <w:t>。以前大家觉得，要保护环境就不能开矿赚钱，要赚钱就得牺牲环境，这似乎是一对不可调和的矛盾。但正体现了课本上关于“对立统一规律”的内容，特别是关于“矛盾的同一性”的观点：“矛盾的同一性是指矛盾着的对立面相互依存、互为存在的前提……在一定条件下可以相互转化”[1]。在赣州的实践中，我们看到了这个“转化”的奇迹——通过生态修复技术和产业导入，让废弃矿山变成了“绿色银行”。</w:t>
      </w:r>
    </w:p>
    <w:p w14:paraId="0E6F40FC">
      <w:pPr>
        <w:pStyle w:val="23"/>
        <w:rPr>
          <w:rFonts w:hint="eastAsia" w:ascii="等线" w:hAnsi="等线" w:eastAsia="等线" w:cs="等线"/>
          <w:sz w:val="24"/>
          <w:szCs w:val="24"/>
        </w:rPr>
      </w:pPr>
      <w:r>
        <w:rPr>
          <w:rFonts w:hint="eastAsia" w:ascii="等线" w:hAnsi="等线" w:eastAsia="等线" w:cs="等线"/>
          <w:sz w:val="24"/>
          <w:szCs w:val="24"/>
        </w:rPr>
        <w:t>比如在寻乌县，通过引进社会资本，在治理后的矿山上建设了光伏发电站。光伏板上面发电，板下还能种草护坡，年发电量达3875万千瓦时，年收入4000多万元[3]。这就是典型的“变荒为电”。还有更绝的，就是在修复后的山上种赣南脐橙、油茶。大余县就在修复后的矿山上发展花卉苗木和生态农副产品，带动了周边农户人均增收3200元[4]。这里，生态优势（绿水青山）通过劳动和技术（中介），成功转化为了经济优势（金山银山）。这深刻地证明了：保护生态环境就是保护生产力，改善生态环境就是发展生产力[2]。这不仅没有阻碍发展，反而倒逼了矿业的绿色转型，比如赣州现在研发出了新型无氨开采工艺，从源头上解决了污染问题。</w:t>
      </w:r>
    </w:p>
    <w:bookmarkEnd w:id="8"/>
    <w:p w14:paraId="3C949591">
      <w:pPr>
        <w:pStyle w:val="23"/>
        <w:rPr>
          <w:rFonts w:hint="eastAsia" w:ascii="等线" w:hAnsi="等线" w:eastAsia="等线" w:cs="等线"/>
          <w:sz w:val="28"/>
          <w:szCs w:val="28"/>
        </w:rPr>
      </w:pPr>
      <w:bookmarkStart w:id="9" w:name="五-制度优势上层建筑对经济基础的反作用"/>
      <w:r>
        <w:rPr>
          <w:rFonts w:hint="eastAsia" w:ascii="等线" w:hAnsi="等线" w:eastAsia="等线" w:cs="等线"/>
          <w:sz w:val="28"/>
          <w:szCs w:val="28"/>
        </w:rPr>
        <w:t>五、 制度优势：上层建筑对经济基础的反作用</w:t>
      </w:r>
    </w:p>
    <w:p w14:paraId="0E985E92">
      <w:pPr>
        <w:pStyle w:val="23"/>
        <w:rPr>
          <w:rFonts w:hint="eastAsia" w:ascii="等线" w:hAnsi="等线" w:eastAsia="等线" w:cs="等线"/>
          <w:sz w:val="24"/>
          <w:szCs w:val="24"/>
        </w:rPr>
      </w:pPr>
      <w:r>
        <w:rPr>
          <w:rFonts w:hint="eastAsia" w:ascii="等线" w:hAnsi="等线" w:eastAsia="等线" w:cs="等线"/>
          <w:sz w:val="24"/>
          <w:szCs w:val="24"/>
          <w:lang w:val="en-US" w:eastAsia="zh-CN"/>
        </w:rPr>
        <w:t>那</w:t>
      </w:r>
      <w:r>
        <w:rPr>
          <w:rFonts w:hint="eastAsia" w:ascii="等线" w:hAnsi="等线" w:eastAsia="等线" w:cs="等线"/>
          <w:sz w:val="24"/>
          <w:szCs w:val="24"/>
        </w:rPr>
        <w:t>为什么这么难的事情，在短短几年内就能做成？这离不开我们国家的制度优势。课本上关于“经济基础与上层建筑”的内容说到：“上层建筑反作用于经济基础……先进的社会意识反映了社会发展的趋势和要求，对社会发展起着积极的促进作用”[1]。在赣州的治理过程中，政府（上层建筑）发挥了决定性的引导作用：</w:t>
      </w:r>
    </w:p>
    <w:p w14:paraId="71E16D59">
      <w:pPr>
        <w:pStyle w:val="23"/>
        <w:rPr>
          <w:rFonts w:hint="eastAsia" w:ascii="等线" w:hAnsi="等线" w:eastAsia="等线" w:cs="等线"/>
          <w:sz w:val="24"/>
          <w:szCs w:val="24"/>
        </w:rPr>
      </w:pPr>
      <w:r>
        <w:rPr>
          <w:rFonts w:hint="eastAsia" w:ascii="等线" w:hAnsi="等线" w:eastAsia="等线" w:cs="等线"/>
          <w:sz w:val="24"/>
          <w:szCs w:val="24"/>
        </w:rPr>
        <w:t>政策引导与资金保障：赣州成功争取了数亿元的中央奖补资金，还利用绿色金融政策，发行绿色债券，推出了“绿业贷”等金融产品，解决了治理缺钱的难题[4]。</w:t>
      </w:r>
    </w:p>
    <w:p w14:paraId="37D03567">
      <w:pPr>
        <w:pStyle w:val="23"/>
        <w:rPr>
          <w:rFonts w:hint="eastAsia" w:ascii="等线" w:hAnsi="等线" w:eastAsia="等线" w:cs="等线"/>
          <w:sz w:val="24"/>
          <w:szCs w:val="24"/>
        </w:rPr>
      </w:pPr>
      <w:r>
        <w:rPr>
          <w:rFonts w:hint="eastAsia" w:ascii="等线" w:hAnsi="等线" w:eastAsia="等线" w:cs="等线"/>
          <w:sz w:val="24"/>
          <w:szCs w:val="24"/>
        </w:rPr>
        <w:t>制度创新：设立了“山水林田湖草办公室”，打破了以前水利、环保、林业各管一摊的局面，实现了统筹治理。</w:t>
      </w:r>
    </w:p>
    <w:p w14:paraId="76E76854">
      <w:pPr>
        <w:pStyle w:val="23"/>
        <w:rPr>
          <w:rFonts w:hint="eastAsia" w:ascii="等线" w:hAnsi="等线" w:eastAsia="等线" w:cs="等线"/>
          <w:sz w:val="24"/>
          <w:szCs w:val="24"/>
        </w:rPr>
      </w:pPr>
      <w:r>
        <w:rPr>
          <w:rFonts w:hint="eastAsia" w:ascii="等线" w:hAnsi="等线" w:eastAsia="等线" w:cs="等线"/>
          <w:sz w:val="24"/>
          <w:szCs w:val="24"/>
        </w:rPr>
        <w:t>考核机制：把水质达标、植被覆盖率等指标纳入考核，治理不达标就扣钱，倒逼施工单位负责到底[3]。</w:t>
      </w:r>
    </w:p>
    <w:p w14:paraId="2A747ABD">
      <w:pPr>
        <w:pStyle w:val="23"/>
        <w:rPr>
          <w:rFonts w:hint="eastAsia" w:ascii="等线" w:hAnsi="等线" w:eastAsia="等线" w:cs="等线"/>
          <w:sz w:val="24"/>
          <w:szCs w:val="24"/>
        </w:rPr>
      </w:pPr>
      <w:r>
        <w:rPr>
          <w:rFonts w:hint="eastAsia" w:ascii="等线" w:hAnsi="等线" w:eastAsia="等线" w:cs="等线"/>
          <w:sz w:val="24"/>
          <w:szCs w:val="24"/>
        </w:rPr>
        <w:t>这些政策和制度，作为上层建筑，有力地推动了废弃矿山这一“烂摊子”向绿色经济基础的转变。这充分体现了习近平生态文明思想中“用最严格制度最严密法治保护生态环境”的要求[5]。</w:t>
      </w:r>
    </w:p>
    <w:bookmarkEnd w:id="9"/>
    <w:p w14:paraId="0CC2E05B">
      <w:pPr>
        <w:pStyle w:val="23"/>
        <w:rPr>
          <w:rFonts w:hint="eastAsia" w:ascii="等线" w:hAnsi="等线" w:eastAsia="等线" w:cs="等线"/>
          <w:sz w:val="28"/>
          <w:szCs w:val="28"/>
        </w:rPr>
      </w:pPr>
      <w:bookmarkStart w:id="10" w:name="六-结语"/>
      <w:r>
        <w:rPr>
          <w:rFonts w:hint="eastAsia" w:ascii="等线" w:hAnsi="等线" w:eastAsia="等线" w:cs="等线"/>
          <w:sz w:val="28"/>
          <w:szCs w:val="28"/>
        </w:rPr>
        <w:t>六、 结语</w:t>
      </w:r>
    </w:p>
    <w:p w14:paraId="4EC4CE9B">
      <w:pPr>
        <w:pStyle w:val="23"/>
        <w:rPr>
          <w:rFonts w:hint="eastAsia" w:ascii="等线" w:hAnsi="等线" w:eastAsia="等线" w:cs="等线"/>
          <w:sz w:val="24"/>
          <w:szCs w:val="24"/>
        </w:rPr>
      </w:pPr>
      <w:r>
        <w:rPr>
          <w:rFonts w:hint="eastAsia" w:ascii="等线" w:hAnsi="等线" w:eastAsia="等线" w:cs="等线"/>
          <w:sz w:val="24"/>
          <w:szCs w:val="24"/>
        </w:rPr>
        <w:t>从昔日千疮百孔的“白色沙漠”，到如今瓜果飘香的“花果山”，赣州废弃矿山的华丽转身，不仅是一个生态修复的奇迹，更是一次马克思主义哲学的生动实践。</w:t>
      </w:r>
    </w:p>
    <w:p w14:paraId="3CF6FE86">
      <w:pPr>
        <w:pStyle w:val="23"/>
        <w:rPr>
          <w:rFonts w:hint="eastAsia" w:ascii="等线" w:hAnsi="等线" w:eastAsia="等线" w:cs="等线"/>
          <w:sz w:val="24"/>
          <w:szCs w:val="24"/>
        </w:rPr>
      </w:pPr>
      <w:r>
        <w:rPr>
          <w:rFonts w:hint="eastAsia" w:ascii="等线" w:hAnsi="等线" w:eastAsia="等线" w:cs="等线"/>
          <w:sz w:val="24"/>
          <w:szCs w:val="24"/>
        </w:rPr>
        <w:t>作为一名新时代的大学生，通过这次论文的写作，我不再觉得课本上的“唯物辩证法”、“矛盾论”是枯燥的教条。它们是鲜活的，就写在家乡的青山绿水间。我深刻体会到，只有坚持人与自然和谐共生，用辩证的眼光看问题，用科学的制度做保障，我们才能守护好家乡的每一寸土地。未来，我也希望能用自己所学的知识，像家乡的建设者们一样，为建设美丽中国贡献一份力量，让“风景这边独好”的江西故事续写新的篇章。</w:t>
      </w:r>
    </w:p>
    <w:bookmarkEnd w:id="10"/>
    <w:p w14:paraId="43F78DB1">
      <w:pPr>
        <w:pStyle w:val="23"/>
        <w:rPr>
          <w:rFonts w:hint="eastAsia" w:ascii="等线" w:hAnsi="等线" w:eastAsia="等线" w:cs="等线"/>
          <w:sz w:val="28"/>
          <w:szCs w:val="28"/>
        </w:rPr>
      </w:pPr>
      <w:bookmarkStart w:id="11" w:name="参考文献"/>
    </w:p>
    <w:p w14:paraId="224A9824">
      <w:pPr>
        <w:pStyle w:val="23"/>
        <w:rPr>
          <w:rFonts w:hint="eastAsia" w:ascii="等线" w:hAnsi="等线" w:eastAsia="等线" w:cs="等线"/>
          <w:sz w:val="28"/>
          <w:szCs w:val="28"/>
        </w:rPr>
      </w:pPr>
    </w:p>
    <w:p w14:paraId="3E624F09">
      <w:pPr>
        <w:pStyle w:val="23"/>
        <w:rPr>
          <w:rFonts w:hint="eastAsia" w:ascii="等线" w:hAnsi="等线" w:eastAsia="等线" w:cs="等线"/>
          <w:sz w:val="28"/>
          <w:szCs w:val="28"/>
        </w:rPr>
      </w:pPr>
      <w:r>
        <w:rPr>
          <w:rFonts w:hint="eastAsia" w:ascii="等线" w:hAnsi="等线" w:eastAsia="等线" w:cs="等线"/>
          <w:sz w:val="28"/>
          <w:szCs w:val="28"/>
        </w:rPr>
        <w:t>【参考文献】</w:t>
      </w:r>
    </w:p>
    <w:p w14:paraId="2BC1BF15">
      <w:pPr>
        <w:pStyle w:val="23"/>
        <w:rPr>
          <w:rFonts w:hint="eastAsia" w:ascii="等线" w:hAnsi="等线" w:eastAsia="等线" w:cs="等线"/>
          <w:sz w:val="24"/>
          <w:szCs w:val="24"/>
        </w:rPr>
      </w:pPr>
      <w:r>
        <w:rPr>
          <w:rFonts w:hint="eastAsia" w:ascii="等线" w:hAnsi="等线" w:eastAsia="等线" w:cs="等线"/>
          <w:sz w:val="24"/>
          <w:szCs w:val="24"/>
        </w:rPr>
        <w:t>[1] 本书编写组. 马克思主义基本原理（2023年版）[M]. 北京: 高等教育出版社, 2023.</w:t>
      </w:r>
    </w:p>
    <w:p w14:paraId="34BC918C">
      <w:pPr>
        <w:pStyle w:val="23"/>
        <w:rPr>
          <w:rFonts w:hint="eastAsia" w:ascii="等线" w:hAnsi="等线" w:eastAsia="等线" w:cs="等线"/>
          <w:sz w:val="24"/>
          <w:szCs w:val="24"/>
        </w:rPr>
      </w:pPr>
      <w:r>
        <w:rPr>
          <w:rFonts w:hint="eastAsia" w:ascii="等线" w:hAnsi="等线" w:eastAsia="等线" w:cs="等线"/>
          <w:sz w:val="24"/>
          <w:szCs w:val="24"/>
        </w:rPr>
        <w:t>[2] 赵建军, 杨博. “绿水青山就是金山银山”的哲学意蕴与时代价值[J]. 自然辩证法研究, 2015, 31(12): 104-109.</w:t>
      </w:r>
    </w:p>
    <w:p w14:paraId="609F8261">
      <w:pPr>
        <w:pStyle w:val="23"/>
        <w:rPr>
          <w:rFonts w:hint="eastAsia" w:ascii="等线" w:hAnsi="等线" w:eastAsia="等线" w:cs="等线"/>
          <w:sz w:val="24"/>
          <w:szCs w:val="24"/>
        </w:rPr>
      </w:pPr>
      <w:r>
        <w:rPr>
          <w:rFonts w:hint="eastAsia" w:ascii="等线" w:hAnsi="等线" w:eastAsia="等线" w:cs="等线"/>
          <w:sz w:val="24"/>
          <w:szCs w:val="24"/>
        </w:rPr>
        <w:t>[3] 赣州市自然资源局. 赣州市山水林田湖草生态保护修复工程——寻乌县废弃矿山综合治理与生态修复项目[R/OL]. (2024-01-10).</w:t>
      </w:r>
    </w:p>
    <w:p w14:paraId="1DFC3C3C">
      <w:pPr>
        <w:pStyle w:val="23"/>
        <w:rPr>
          <w:rFonts w:hint="eastAsia" w:ascii="等线" w:hAnsi="等线" w:eastAsia="等线" w:cs="等线"/>
          <w:sz w:val="24"/>
          <w:szCs w:val="24"/>
        </w:rPr>
      </w:pPr>
      <w:r>
        <w:rPr>
          <w:rFonts w:hint="eastAsia" w:ascii="等线" w:hAnsi="等线" w:eastAsia="等线" w:cs="等线"/>
          <w:sz w:val="24"/>
          <w:szCs w:val="24"/>
        </w:rPr>
        <w:t xml:space="preserve">[4] 谢文君, 肖圣杰, 邓慧. 从“环境痛点”到“生态亮点” 江西省赣州市推进废弃矿山治理的金融探索[N]. 金融时报, 2023-06-15. </w:t>
      </w:r>
    </w:p>
    <w:p w14:paraId="1ADBBA57">
      <w:pPr>
        <w:pStyle w:val="23"/>
        <w:rPr>
          <w:rFonts w:hint="eastAsia" w:ascii="等线" w:hAnsi="等线" w:eastAsia="等线" w:cs="等线"/>
          <w:sz w:val="24"/>
          <w:szCs w:val="24"/>
        </w:rPr>
      </w:pPr>
      <w:r>
        <w:rPr>
          <w:rFonts w:hint="eastAsia" w:ascii="等线" w:hAnsi="等线" w:eastAsia="等线" w:cs="等线"/>
          <w:sz w:val="24"/>
          <w:szCs w:val="24"/>
        </w:rPr>
        <w:t xml:space="preserve">[5] 刘涵. 习近平生态文明思想研究[D]. 湖南师范大学, 2019. </w:t>
      </w:r>
    </w:p>
    <w:p w14:paraId="18933D1F">
      <w:pPr>
        <w:pStyle w:val="23"/>
        <w:rPr>
          <w:rFonts w:hint="eastAsia" w:ascii="等线" w:hAnsi="等线" w:eastAsia="等线" w:cs="等线"/>
          <w:sz w:val="24"/>
          <w:szCs w:val="24"/>
        </w:rPr>
      </w:pPr>
      <w:r>
        <w:rPr>
          <w:rFonts w:hint="eastAsia" w:ascii="等线" w:hAnsi="等线" w:eastAsia="等线" w:cs="等线"/>
          <w:sz w:val="24"/>
          <w:szCs w:val="24"/>
        </w:rPr>
        <w:t>[6] 廖福玲, 温昌辉, 张子桢. 青山返翠 绿水涌流——赣州扎实推进废弃矿山生态修复治理走笔[N/OL]. 中国青年网, 2025-09-15.</w:t>
      </w:r>
    </w:p>
    <w:bookmarkEnd w:id="0"/>
    <w:bookmarkEnd w:id="1"/>
    <w:bookmarkEnd w:id="1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060C2D53"/>
    <w:rsid w:val="094F2CD3"/>
    <w:rsid w:val="0F013EAE"/>
    <w:rsid w:val="184A4865"/>
    <w:rsid w:val="1EFE0AE6"/>
    <w:rsid w:val="208A5D8A"/>
    <w:rsid w:val="21D267A7"/>
    <w:rsid w:val="2A0873C7"/>
    <w:rsid w:val="32113E29"/>
    <w:rsid w:val="3D325373"/>
    <w:rsid w:val="4A396B13"/>
    <w:rsid w:val="4BD777FC"/>
    <w:rsid w:val="4FD77DC0"/>
    <w:rsid w:val="52F11223"/>
    <w:rsid w:val="56A43AE0"/>
    <w:rsid w:val="5CC2663A"/>
    <w:rsid w:val="5F3673C4"/>
    <w:rsid w:val="6FF07C32"/>
    <w:rsid w:val="721B35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3282</Words>
  <Characters>3428</Characters>
  <Lines>12</Lines>
  <Paragraphs>8</Paragraphs>
  <TotalTime>1</TotalTime>
  <ScaleCrop>false</ScaleCrop>
  <LinksUpToDate>false</LinksUpToDate>
  <CharactersWithSpaces>3479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2025-12-01T00:31:00Z</dcterms:created>
  <dc:creator>杨龙驹</dc:creator>
  <cp:lastModifiedBy>杨龙驹</cp:lastModifiedBy>
  <dcterms:modified xsi:type="dcterms:W3CDTF">2025-12-01T11:55:16Z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eyJoZGlkIjoiOTFlZmM3ODU0NGNlZTM4Y2QzNGQ5ZGU5NjdmODM3Y2QiLCJ1c2VySWQiOiIxNzY0NjM0OTg4In0=</vt:lpwstr>
  </property>
  <property fmtid="{D5CDD505-2E9C-101B-9397-08002B2CF9AE}" pid="3" name="KSOProductBuildVer">
    <vt:lpwstr>2052-12.1.0.23542</vt:lpwstr>
  </property>
  <property fmtid="{D5CDD505-2E9C-101B-9397-08002B2CF9AE}" pid="4" name="ICV">
    <vt:lpwstr>ACE481F845774B9594DDD7E604D0446A_12</vt:lpwstr>
  </property>
</Properties>
</file>