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62F" w:rsidRDefault="009726DD" w:rsidP="009726DD">
      <w:pPr>
        <w:ind w:left="-709"/>
        <w:rPr>
          <w:b/>
          <w:sz w:val="26"/>
          <w:szCs w:val="26"/>
        </w:rPr>
      </w:pPr>
      <w:proofErr w:type="spellStart"/>
      <w:r>
        <w:rPr>
          <w:b/>
          <w:sz w:val="26"/>
          <w:szCs w:val="26"/>
        </w:rPr>
        <w:t>Plaberum</w:t>
      </w:r>
      <w:proofErr w:type="spellEnd"/>
      <w:r>
        <w:rPr>
          <w:b/>
          <w:sz w:val="26"/>
          <w:szCs w:val="26"/>
        </w:rPr>
        <w:t xml:space="preserve"> checklist</w:t>
      </w:r>
      <w:bookmarkStart w:id="0" w:name="_GoBack"/>
      <w:bookmarkEnd w:id="0"/>
    </w:p>
    <w:tbl>
      <w:tblPr>
        <w:tblpPr w:leftFromText="141" w:rightFromText="141" w:vertAnchor="text" w:horzAnchor="margin" w:tblpXSpec="center" w:tblpY="523"/>
        <w:tblW w:w="10580" w:type="dxa"/>
        <w:tblCellMar>
          <w:left w:w="70" w:type="dxa"/>
          <w:right w:w="70" w:type="dxa"/>
        </w:tblCellMar>
        <w:tblLook w:val="04A0" w:firstRow="1" w:lastRow="0" w:firstColumn="1" w:lastColumn="0" w:noHBand="0" w:noVBand="1"/>
      </w:tblPr>
      <w:tblGrid>
        <w:gridCol w:w="3180"/>
        <w:gridCol w:w="780"/>
        <w:gridCol w:w="2980"/>
        <w:gridCol w:w="780"/>
        <w:gridCol w:w="2860"/>
      </w:tblGrid>
      <w:tr w:rsidR="009726DD" w:rsidRPr="007D7325" w:rsidTr="009726DD">
        <w:trPr>
          <w:trHeight w:val="330"/>
        </w:trPr>
        <w:tc>
          <w:tcPr>
            <w:tcW w:w="31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726DD" w:rsidRPr="007D7325" w:rsidRDefault="009726DD" w:rsidP="009726DD">
            <w:pPr>
              <w:spacing w:after="0"/>
              <w:jc w:val="center"/>
              <w:rPr>
                <w:b/>
                <w:bCs/>
                <w:color w:val="000000"/>
                <w:sz w:val="24"/>
                <w:szCs w:val="24"/>
              </w:rPr>
            </w:pPr>
            <w:r w:rsidRPr="007D7325">
              <w:rPr>
                <w:b/>
                <w:bCs/>
                <w:color w:val="000000"/>
                <w:sz w:val="24"/>
                <w:szCs w:val="24"/>
              </w:rPr>
              <w:t>Fase 2 Ontwerp</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 w:val="18"/>
                <w:szCs w:val="18"/>
              </w:rPr>
            </w:pPr>
          </w:p>
        </w:tc>
        <w:tc>
          <w:tcPr>
            <w:tcW w:w="29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726DD" w:rsidRPr="007D7325" w:rsidRDefault="009726DD" w:rsidP="009726DD">
            <w:pPr>
              <w:spacing w:after="0"/>
              <w:jc w:val="center"/>
              <w:rPr>
                <w:b/>
                <w:bCs/>
                <w:color w:val="000000"/>
                <w:sz w:val="24"/>
                <w:szCs w:val="24"/>
              </w:rPr>
            </w:pPr>
            <w:r w:rsidRPr="007D7325">
              <w:rPr>
                <w:b/>
                <w:bCs/>
                <w:color w:val="000000"/>
                <w:sz w:val="24"/>
                <w:szCs w:val="24"/>
              </w:rPr>
              <w:t>Fase 3 Voorbereiding</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726DD" w:rsidRPr="007D7325" w:rsidRDefault="009726DD" w:rsidP="009726DD">
            <w:pPr>
              <w:spacing w:after="0"/>
              <w:jc w:val="center"/>
              <w:rPr>
                <w:b/>
                <w:bCs/>
                <w:color w:val="000000"/>
                <w:sz w:val="24"/>
                <w:szCs w:val="24"/>
              </w:rPr>
            </w:pPr>
            <w:r w:rsidRPr="007D7325">
              <w:rPr>
                <w:b/>
                <w:bCs/>
                <w:color w:val="000000"/>
                <w:sz w:val="24"/>
                <w:szCs w:val="24"/>
              </w:rPr>
              <w:t>Fase 4 Realisatie</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b/>
                <w:bCs/>
                <w:color w:val="000000"/>
                <w:sz w:val="20"/>
              </w:rPr>
            </w:pPr>
            <w:r w:rsidRPr="007D7325">
              <w:rPr>
                <w:b/>
                <w:bCs/>
                <w:color w:val="000000"/>
                <w:sz w:val="20"/>
              </w:rPr>
              <w:t>Projectontwerp</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b/>
                <w:bCs/>
                <w:color w:val="000000"/>
                <w:sz w:val="20"/>
              </w:rPr>
            </w:pPr>
            <w:r w:rsidRPr="007D7325">
              <w:rPr>
                <w:b/>
                <w:bCs/>
                <w:color w:val="000000"/>
                <w:sz w:val="20"/>
              </w:rPr>
              <w:t>Realiseringsplan</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b/>
                <w:bCs/>
                <w:color w:val="000000"/>
                <w:sz w:val="20"/>
              </w:rPr>
            </w:pPr>
            <w:r w:rsidRPr="007D7325">
              <w:rPr>
                <w:b/>
                <w:bCs/>
                <w:color w:val="000000"/>
                <w:sz w:val="20"/>
              </w:rPr>
              <w:t>Eindrapportage</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b/>
                <w:bCs/>
                <w:color w:val="000000"/>
                <w:sz w:val="20"/>
              </w:rPr>
            </w:pPr>
            <w:r w:rsidRPr="007D7325">
              <w:rPr>
                <w:b/>
                <w:bCs/>
                <w:color w:val="000000"/>
                <w:sz w:val="20"/>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Cs w:val="22"/>
              </w:rPr>
            </w:pPr>
            <w:r w:rsidRPr="007D7325">
              <w:rPr>
                <w:color w:val="000000"/>
                <w:szCs w:val="22"/>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Cs w:val="22"/>
              </w:rPr>
            </w:pPr>
            <w:r w:rsidRPr="007D7325">
              <w:rPr>
                <w:color w:val="000000"/>
                <w:szCs w:val="22"/>
              </w:rPr>
              <w:t> </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b/>
                <w:bCs/>
                <w:color w:val="000000"/>
                <w:sz w:val="20"/>
              </w:rPr>
            </w:pPr>
            <w:r w:rsidRPr="007D7325">
              <w:rPr>
                <w:b/>
                <w:bCs/>
                <w:color w:val="000000"/>
                <w:sz w:val="20"/>
              </w:rPr>
              <w:t>Nadere uitwerking gebiedsvisie:</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b/>
                <w:bCs/>
                <w:color w:val="000000"/>
                <w:sz w:val="20"/>
              </w:rPr>
            </w:pPr>
            <w:r w:rsidRPr="007D7325">
              <w:rPr>
                <w:b/>
                <w:bCs/>
                <w:color w:val="000000"/>
                <w:sz w:val="20"/>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b/>
                <w:bCs/>
                <w:color w:val="000000"/>
                <w:sz w:val="20"/>
              </w:rPr>
            </w:pPr>
            <w:r w:rsidRPr="007D7325">
              <w:rPr>
                <w:b/>
                <w:bCs/>
                <w:color w:val="000000"/>
                <w:sz w:val="20"/>
              </w:rPr>
              <w:t xml:space="preserve">Bouw- en </w:t>
            </w:r>
            <w:proofErr w:type="spellStart"/>
            <w:r w:rsidRPr="007D7325">
              <w:rPr>
                <w:b/>
                <w:bCs/>
                <w:color w:val="000000"/>
                <w:sz w:val="20"/>
              </w:rPr>
              <w:t>woonrijpmaken</w:t>
            </w:r>
            <w:proofErr w:type="spellEnd"/>
            <w:r w:rsidRPr="007D7325">
              <w:rPr>
                <w:b/>
                <w:bCs/>
                <w:color w:val="000000"/>
                <w:sz w:val="20"/>
              </w:rPr>
              <w:t>:</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onderzoek flora en fauna</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onderzoek cultuurhistorie</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archeologisch onderzoek</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bodemonderzoek van verkennend onderzoek tot saneringsplan</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uitvoeren sanering</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booronderzoek en bewijsmiddelen storende lagen</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 xml:space="preserve">funderings- en verhardingsadvies </w:t>
            </w:r>
            <w:proofErr w:type="spellStart"/>
            <w:r w:rsidRPr="007D7325">
              <w:rPr>
                <w:i/>
                <w:iCs/>
                <w:color w:val="FF0000"/>
                <w:sz w:val="18"/>
                <w:szCs w:val="18"/>
              </w:rPr>
              <w:t>incl</w:t>
            </w:r>
            <w:proofErr w:type="spellEnd"/>
            <w:r w:rsidRPr="007D7325">
              <w:rPr>
                <w:i/>
                <w:iCs/>
                <w:color w:val="FF0000"/>
                <w:sz w:val="18"/>
                <w:szCs w:val="18"/>
              </w:rPr>
              <w:t xml:space="preserve"> berekeningen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berekening en advisering voorbelasting</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noWrap/>
            <w:hideMark/>
          </w:tcPr>
          <w:p w:rsidR="009726DD" w:rsidRPr="007D7325" w:rsidRDefault="009726DD" w:rsidP="009726DD">
            <w:pPr>
              <w:spacing w:after="0"/>
              <w:rPr>
                <w:i/>
                <w:iCs/>
                <w:color w:val="FF0000"/>
                <w:sz w:val="18"/>
                <w:szCs w:val="18"/>
              </w:rPr>
            </w:pPr>
            <w:r w:rsidRPr="007D7325">
              <w:rPr>
                <w:i/>
                <w:iCs/>
                <w:color w:val="FF0000"/>
                <w:sz w:val="18"/>
                <w:szCs w:val="18"/>
              </w:rPr>
              <w:t>boom effecten analyse</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xml:space="preserve">milieuzonering, </w:t>
            </w:r>
            <w:proofErr w:type="spellStart"/>
            <w:r w:rsidRPr="007D7325">
              <w:rPr>
                <w:color w:val="000000"/>
                <w:sz w:val="18"/>
                <w:szCs w:val="18"/>
              </w:rPr>
              <w:t>incl</w:t>
            </w:r>
            <w:proofErr w:type="spellEnd"/>
            <w:r w:rsidRPr="007D7325">
              <w:rPr>
                <w:color w:val="000000"/>
                <w:sz w:val="18"/>
                <w:szCs w:val="18"/>
              </w:rPr>
              <w:t xml:space="preserve"> geluid (eventuele maatregelen)</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noWrap/>
            <w:hideMark/>
          </w:tcPr>
          <w:p w:rsidR="009726DD" w:rsidRPr="007D7325" w:rsidRDefault="009726DD" w:rsidP="009726DD">
            <w:pPr>
              <w:spacing w:after="0"/>
              <w:rPr>
                <w:i/>
                <w:iCs/>
                <w:color w:val="FF0000"/>
                <w:sz w:val="18"/>
                <w:szCs w:val="18"/>
              </w:rPr>
            </w:pPr>
            <w:r w:rsidRPr="007D7325">
              <w:rPr>
                <w:i/>
                <w:iCs/>
                <w:color w:val="FF0000"/>
                <w:sz w:val="18"/>
                <w:szCs w:val="18"/>
              </w:rPr>
              <w:t>milieukundig advies</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beoordeling en toetsing externe veiligheid</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luchtkwaliteit</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onderzoek parkeerbalans</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xml:space="preserve">watertoets </w:t>
            </w:r>
            <w:proofErr w:type="spellStart"/>
            <w:r w:rsidRPr="007D7325">
              <w:rPr>
                <w:color w:val="000000"/>
                <w:sz w:val="18"/>
                <w:szCs w:val="18"/>
              </w:rPr>
              <w:t>incl</w:t>
            </w:r>
            <w:proofErr w:type="spellEnd"/>
            <w:r w:rsidRPr="007D7325">
              <w:rPr>
                <w:color w:val="000000"/>
                <w:sz w:val="18"/>
                <w:szCs w:val="18"/>
              </w:rPr>
              <w:t xml:space="preserve"> evt. maatregelen</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indien van toepassing studie MER/ VER/ SMB</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planschade onderzoek</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b/>
                <w:bCs/>
                <w:color w:val="000000"/>
                <w:sz w:val="20"/>
              </w:rPr>
            </w:pPr>
            <w:r w:rsidRPr="007D7325">
              <w:rPr>
                <w:b/>
                <w:bCs/>
                <w:color w:val="000000"/>
                <w:sz w:val="20"/>
              </w:rPr>
              <w:t xml:space="preserve">Stedenbouwkundig ontwerp: </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b/>
                <w:bCs/>
                <w:color w:val="000000"/>
                <w:sz w:val="20"/>
              </w:rPr>
            </w:pPr>
            <w:r w:rsidRPr="007D7325">
              <w:rPr>
                <w:b/>
                <w:bCs/>
                <w:color w:val="000000"/>
                <w:sz w:val="20"/>
              </w:rPr>
              <w:t>Stedenbouwkundig ontwerp:</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civieltechnisch ontwerp; bestek+ tekeningen BRM</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stedenbouwkundig ontwerp (SP)</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xml:space="preserve">verdere detaillering SP, verkaveling en terreinindeling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xml:space="preserve">aanbesteding BRM                            </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beeldkwaliteitsplan</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xml:space="preserve">inrichtingsplan </w:t>
            </w:r>
            <w:r w:rsidRPr="007D7325">
              <w:rPr>
                <w:i/>
                <w:iCs/>
                <w:color w:val="FF0000"/>
                <w:sz w:val="18"/>
                <w:szCs w:val="18"/>
              </w:rPr>
              <w:t xml:space="preserve">openbare ruimte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gunning BRM</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energievisie</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 xml:space="preserve">groenplan </w:t>
            </w:r>
            <w:r>
              <w:rPr>
                <w:i/>
                <w:iCs/>
                <w:color w:val="FF0000"/>
                <w:sz w:val="18"/>
                <w:szCs w:val="18"/>
              </w:rPr>
              <w:t xml:space="preserve">en </w:t>
            </w:r>
            <w:r w:rsidRPr="007D7325">
              <w:rPr>
                <w:i/>
                <w:iCs/>
                <w:color w:val="FF0000"/>
                <w:sz w:val="18"/>
                <w:szCs w:val="18"/>
              </w:rPr>
              <w:t xml:space="preserve">spelen </w:t>
            </w:r>
            <w:r w:rsidRPr="008E3748">
              <w:rPr>
                <w:b/>
                <w:i/>
                <w:iCs/>
                <w:color w:val="FF0000"/>
                <w:sz w:val="20"/>
              </w:rPr>
              <w:t>(3)</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voorschouw</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xml:space="preserve">inventarisatie EPC maatregelen en check </w:t>
            </w:r>
            <w:proofErr w:type="spellStart"/>
            <w:r w:rsidRPr="007D7325">
              <w:rPr>
                <w:color w:val="000000"/>
                <w:sz w:val="18"/>
                <w:szCs w:val="18"/>
              </w:rPr>
              <w:t>dubo</w:t>
            </w:r>
            <w:proofErr w:type="spellEnd"/>
            <w:r w:rsidRPr="007D7325">
              <w:rPr>
                <w:color w:val="000000"/>
                <w:sz w:val="18"/>
                <w:szCs w:val="18"/>
              </w:rPr>
              <w:t>-beleid</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voorzieningen en beheersmaatregelen integrale (externe) veiligheid</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xml:space="preserve">uitvoering BRM </w:t>
            </w:r>
            <w:proofErr w:type="spellStart"/>
            <w:r w:rsidRPr="007D7325">
              <w:rPr>
                <w:color w:val="000000"/>
                <w:sz w:val="18"/>
                <w:szCs w:val="18"/>
              </w:rPr>
              <w:t>incl</w:t>
            </w:r>
            <w:proofErr w:type="spellEnd"/>
            <w:r w:rsidRPr="007D7325">
              <w:rPr>
                <w:color w:val="000000"/>
                <w:sz w:val="18"/>
                <w:szCs w:val="18"/>
              </w:rPr>
              <w:t xml:space="preserve"> </w:t>
            </w:r>
            <w:proofErr w:type="spellStart"/>
            <w:r w:rsidRPr="007D7325">
              <w:rPr>
                <w:color w:val="000000"/>
                <w:sz w:val="18"/>
                <w:szCs w:val="18"/>
              </w:rPr>
              <w:t>dubo</w:t>
            </w:r>
            <w:proofErr w:type="spellEnd"/>
            <w:r w:rsidRPr="007D7325">
              <w:rPr>
                <w:color w:val="000000"/>
                <w:sz w:val="18"/>
                <w:szCs w:val="18"/>
              </w:rPr>
              <w:t xml:space="preserve"> </w:t>
            </w:r>
            <w:r w:rsidRPr="007D7325">
              <w:rPr>
                <w:i/>
                <w:iCs/>
                <w:color w:val="FF0000"/>
                <w:sz w:val="18"/>
                <w:szCs w:val="18"/>
              </w:rPr>
              <w:t>verkeersplan werkuitvoering</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 xml:space="preserve">systeemkeuze afvalinzameling </w:t>
            </w:r>
            <w:r w:rsidRPr="008E3748">
              <w:rPr>
                <w:b/>
                <w:i/>
                <w:iCs/>
                <w:color w:val="FF0000"/>
                <w:sz w:val="20"/>
              </w:rPr>
              <w:t>(1)</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20"/>
              </w:rPr>
            </w:pPr>
            <w:r w:rsidRPr="007D7325">
              <w:rPr>
                <w:i/>
                <w:iCs/>
                <w:color w:val="FF0000"/>
                <w:sz w:val="20"/>
              </w:rPr>
              <w:t xml:space="preserve">plan afvalinzameling </w:t>
            </w:r>
            <w:r w:rsidRPr="008E3748">
              <w:rPr>
                <w:b/>
                <w:i/>
                <w:iCs/>
                <w:color w:val="FF0000"/>
                <w:sz w:val="20"/>
              </w:rPr>
              <w:t>(4)</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civieltechnisch ontwerp; bestek+ tekeningen WRM</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principe rioleringsontwerp plangebied</w:t>
            </w:r>
            <w:r w:rsidRPr="008E3748">
              <w:rPr>
                <w:b/>
                <w:i/>
                <w:iCs/>
                <w:color w:val="FF0000"/>
                <w:sz w:val="18"/>
                <w:szCs w:val="18"/>
              </w:rPr>
              <w:t>(2)</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20"/>
              </w:rPr>
            </w:pPr>
            <w:r w:rsidRPr="007D7325">
              <w:rPr>
                <w:i/>
                <w:iCs/>
                <w:color w:val="FF0000"/>
                <w:sz w:val="20"/>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verkeersbordenplan</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principe bruggenplan</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nuts infrastructuurplan</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verlichtingsplan</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overzichtskaart kabels en leidingen</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 xml:space="preserve">riolerings- </w:t>
            </w:r>
            <w:r w:rsidRPr="008E3748">
              <w:rPr>
                <w:b/>
                <w:i/>
                <w:iCs/>
                <w:color w:val="FF0000"/>
                <w:sz w:val="20"/>
              </w:rPr>
              <w:t>(5)</w:t>
            </w:r>
            <w:r w:rsidRPr="007D7325">
              <w:rPr>
                <w:i/>
                <w:iCs/>
                <w:color w:val="FF0000"/>
                <w:sz w:val="18"/>
                <w:szCs w:val="18"/>
              </w:rPr>
              <w:t xml:space="preserve"> en/of drainageplan </w:t>
            </w:r>
            <w:r w:rsidRPr="008E3748">
              <w:rPr>
                <w:b/>
                <w:i/>
                <w:iCs/>
                <w:color w:val="FF0000"/>
                <w:sz w:val="20"/>
              </w:rPr>
              <w:t>(6)</w:t>
            </w:r>
            <w:r w:rsidRPr="007D7325">
              <w:rPr>
                <w:i/>
                <w:iCs/>
                <w:color w:val="FF0000"/>
                <w:sz w:val="18"/>
                <w:szCs w:val="18"/>
              </w:rPr>
              <w:t xml:space="preserve"> </w:t>
            </w:r>
            <w:proofErr w:type="spellStart"/>
            <w:r w:rsidRPr="007D7325">
              <w:rPr>
                <w:i/>
                <w:iCs/>
                <w:color w:val="FF0000"/>
                <w:sz w:val="18"/>
                <w:szCs w:val="18"/>
              </w:rPr>
              <w:t>incl</w:t>
            </w:r>
            <w:proofErr w:type="spellEnd"/>
            <w:r w:rsidRPr="007D7325">
              <w:rPr>
                <w:i/>
                <w:iCs/>
                <w:color w:val="FF0000"/>
                <w:sz w:val="18"/>
                <w:szCs w:val="18"/>
              </w:rPr>
              <w:t xml:space="preserve"> berekeningen</w:t>
            </w:r>
            <w:r>
              <w:rPr>
                <w:i/>
                <w:iCs/>
                <w:color w:val="FF0000"/>
                <w:sz w:val="18"/>
                <w:szCs w:val="18"/>
              </w:rPr>
              <w:t xml:space="preserve"> (</w:t>
            </w:r>
            <w:r w:rsidRPr="007D7325">
              <w:rPr>
                <w:i/>
                <w:iCs/>
                <w:color w:val="FF0000"/>
                <w:sz w:val="18"/>
                <w:szCs w:val="18"/>
              </w:rPr>
              <w:t xml:space="preserve"> </w:t>
            </w:r>
            <w:proofErr w:type="spellStart"/>
            <w:r w:rsidRPr="007D7325">
              <w:rPr>
                <w:i/>
                <w:iCs/>
                <w:color w:val="FF0000"/>
                <w:sz w:val="18"/>
                <w:szCs w:val="18"/>
              </w:rPr>
              <w:t>hydrolische</w:t>
            </w:r>
            <w:proofErr w:type="spellEnd"/>
            <w:r w:rsidRPr="007D7325">
              <w:rPr>
                <w:i/>
                <w:iCs/>
                <w:color w:val="FF0000"/>
                <w:sz w:val="18"/>
                <w:szCs w:val="18"/>
              </w:rPr>
              <w:t xml:space="preserve"> berekeningen, gemaal </w:t>
            </w:r>
            <w:proofErr w:type="spellStart"/>
            <w:r>
              <w:rPr>
                <w:i/>
                <w:iCs/>
                <w:color w:val="FF0000"/>
                <w:sz w:val="18"/>
                <w:szCs w:val="18"/>
              </w:rPr>
              <w:t>e.a</w:t>
            </w:r>
            <w:proofErr w:type="spellEnd"/>
            <w:r>
              <w:rPr>
                <w:i/>
                <w:iCs/>
                <w:color w:val="FF0000"/>
                <w:sz w:val="18"/>
                <w:szCs w:val="18"/>
              </w:rPr>
              <w:t>)</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xml:space="preserve">toets beheerkosten BOR </w:t>
            </w:r>
            <w:proofErr w:type="spellStart"/>
            <w:r w:rsidRPr="007D7325">
              <w:rPr>
                <w:color w:val="000000"/>
                <w:sz w:val="18"/>
                <w:szCs w:val="18"/>
              </w:rPr>
              <w:t>incl</w:t>
            </w:r>
            <w:proofErr w:type="spellEnd"/>
            <w:r w:rsidRPr="007D7325">
              <w:rPr>
                <w:color w:val="000000"/>
                <w:sz w:val="18"/>
                <w:szCs w:val="18"/>
              </w:rPr>
              <w:t xml:space="preserve"> dekking</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xml:space="preserve">globaal beheerplan </w:t>
            </w:r>
            <w:proofErr w:type="spellStart"/>
            <w:r w:rsidRPr="007D7325">
              <w:rPr>
                <w:color w:val="000000"/>
                <w:sz w:val="18"/>
                <w:szCs w:val="18"/>
              </w:rPr>
              <w:t>incl</w:t>
            </w:r>
            <w:proofErr w:type="spellEnd"/>
            <w:r w:rsidRPr="007D7325">
              <w:rPr>
                <w:color w:val="000000"/>
                <w:sz w:val="18"/>
                <w:szCs w:val="18"/>
              </w:rPr>
              <w:t xml:space="preserve"> dekking</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 xml:space="preserve">beplantingsplan </w:t>
            </w:r>
            <w:r w:rsidRPr="008E3748">
              <w:rPr>
                <w:b/>
                <w:i/>
                <w:iCs/>
                <w:color w:val="FF0000"/>
                <w:sz w:val="20"/>
              </w:rPr>
              <w:t>(7)</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civieltechnische toets</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calculatie bouw- WRM</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i/>
                <w:iCs/>
                <w:color w:val="FF0000"/>
                <w:sz w:val="18"/>
                <w:szCs w:val="18"/>
              </w:rPr>
            </w:pPr>
            <w:r w:rsidRPr="007D7325">
              <w:rPr>
                <w:i/>
                <w:iCs/>
                <w:color w:val="FF0000"/>
                <w:sz w:val="18"/>
                <w:szCs w:val="18"/>
              </w:rPr>
              <w:t>straatnaambordenplan</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kostenindicatie bouw- en WRM</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xml:space="preserve">toets calculatie B-WRM aan grondexploitatie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aanbesteding WRM</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inventarisatie nodige vergunningen</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noWrap/>
            <w:vAlign w:val="bottom"/>
            <w:hideMark/>
          </w:tcPr>
          <w:p w:rsidR="009726DD" w:rsidRPr="007D7325" w:rsidRDefault="009726DD" w:rsidP="009726DD">
            <w:pPr>
              <w:spacing w:after="0"/>
              <w:rPr>
                <w:b/>
                <w:bCs/>
                <w:color w:val="000000"/>
                <w:sz w:val="20"/>
              </w:rPr>
            </w:pPr>
            <w:r w:rsidRPr="007D7325">
              <w:rPr>
                <w:b/>
                <w:bCs/>
                <w:color w:val="000000"/>
                <w:sz w:val="20"/>
              </w:rPr>
              <w:t>Bestemmingsplan:</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gunning WRM</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xml:space="preserve">technisch </w:t>
            </w:r>
            <w:proofErr w:type="spellStart"/>
            <w:r w:rsidRPr="007D7325">
              <w:rPr>
                <w:color w:val="000000"/>
                <w:sz w:val="18"/>
                <w:szCs w:val="18"/>
              </w:rPr>
              <w:t>PvE</w:t>
            </w:r>
            <w:proofErr w:type="spellEnd"/>
            <w:r w:rsidRPr="007D7325">
              <w:rPr>
                <w:color w:val="000000"/>
                <w:sz w:val="18"/>
                <w:szCs w:val="18"/>
              </w:rPr>
              <w:t xml:space="preserve"> </w:t>
            </w:r>
            <w:r w:rsidRPr="007D7325">
              <w:rPr>
                <w:i/>
                <w:iCs/>
                <w:color w:val="FF0000"/>
                <w:sz w:val="18"/>
                <w:szCs w:val="18"/>
              </w:rPr>
              <w:t>specifiek onderdeel</w:t>
            </w: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vaststellen bestemmingsplan</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xml:space="preserve">uitvoering WRM </w:t>
            </w:r>
            <w:proofErr w:type="spellStart"/>
            <w:r w:rsidRPr="007D7325">
              <w:rPr>
                <w:color w:val="000000"/>
                <w:sz w:val="18"/>
                <w:szCs w:val="18"/>
              </w:rPr>
              <w:t>incl</w:t>
            </w:r>
            <w:proofErr w:type="spellEnd"/>
            <w:r w:rsidRPr="007D7325">
              <w:rPr>
                <w:color w:val="000000"/>
                <w:sz w:val="18"/>
                <w:szCs w:val="18"/>
              </w:rPr>
              <w:t xml:space="preserve"> </w:t>
            </w:r>
            <w:proofErr w:type="spellStart"/>
            <w:r w:rsidRPr="007D7325">
              <w:rPr>
                <w:color w:val="000000"/>
                <w:sz w:val="18"/>
                <w:szCs w:val="18"/>
              </w:rPr>
              <w:t>dubo</w:t>
            </w:r>
            <w:proofErr w:type="spellEnd"/>
            <w:r w:rsidRPr="007D7325">
              <w:rPr>
                <w:color w:val="000000"/>
                <w:sz w:val="18"/>
                <w:szCs w:val="18"/>
              </w:rPr>
              <w:t xml:space="preserve"> eindschouw</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noWrap/>
            <w:hideMark/>
          </w:tcPr>
          <w:p w:rsidR="009726DD" w:rsidRDefault="009726DD" w:rsidP="009726DD">
            <w:pPr>
              <w:spacing w:after="0"/>
              <w:rPr>
                <w:b/>
                <w:bCs/>
                <w:color w:val="000000"/>
                <w:sz w:val="20"/>
              </w:rPr>
            </w:pPr>
            <w:r w:rsidRPr="007D7325">
              <w:rPr>
                <w:b/>
                <w:bCs/>
                <w:color w:val="000000"/>
                <w:sz w:val="20"/>
              </w:rPr>
              <w:t>Bestemmingsplan:</w:t>
            </w:r>
          </w:p>
          <w:p w:rsidR="009726DD" w:rsidRDefault="009726DD" w:rsidP="009726DD">
            <w:pPr>
              <w:spacing w:after="0"/>
              <w:rPr>
                <w:color w:val="000000"/>
                <w:sz w:val="18"/>
                <w:szCs w:val="18"/>
              </w:rPr>
            </w:pPr>
            <w:r w:rsidRPr="007D7325">
              <w:rPr>
                <w:color w:val="000000"/>
                <w:sz w:val="18"/>
                <w:szCs w:val="18"/>
              </w:rPr>
              <w:t>VO bestemmingsplan</w:t>
            </w:r>
          </w:p>
          <w:p w:rsidR="009726DD" w:rsidRPr="007D7325" w:rsidRDefault="009726DD" w:rsidP="009726DD">
            <w:pPr>
              <w:spacing w:after="0"/>
              <w:rPr>
                <w:b/>
                <w:bCs/>
                <w:color w:val="000000"/>
                <w:sz w:val="20"/>
              </w:rPr>
            </w:pP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r w:rsidRPr="007D7325">
              <w:rPr>
                <w:color w:val="000000"/>
                <w:sz w:val="18"/>
                <w:szCs w:val="18"/>
              </w:rPr>
              <w:t xml:space="preserve">toetsing en actualisering benodigde vergunningen, </w:t>
            </w:r>
            <w:proofErr w:type="spellStart"/>
            <w:r w:rsidRPr="007D7325">
              <w:rPr>
                <w:color w:val="000000"/>
                <w:sz w:val="18"/>
                <w:szCs w:val="18"/>
              </w:rPr>
              <w:t>ext</w:t>
            </w:r>
            <w:proofErr w:type="spellEnd"/>
            <w:r w:rsidRPr="007D7325">
              <w:rPr>
                <w:color w:val="000000"/>
                <w:sz w:val="18"/>
                <w:szCs w:val="18"/>
              </w:rPr>
              <w:t xml:space="preserve">. veiligheid, omgevingsvergunning, watervergunning, </w:t>
            </w:r>
            <w:r w:rsidRPr="007D7325">
              <w:rPr>
                <w:i/>
                <w:iCs/>
                <w:color w:val="FF0000"/>
                <w:sz w:val="18"/>
                <w:szCs w:val="18"/>
              </w:rPr>
              <w:t xml:space="preserve">bouwvergunning kunstwerken, vergunning aansluiting riolering, lozing grondwater, verkeersbesluit, in-uitritten, evt. afkoop wateronderhoud </w:t>
            </w: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noWrap/>
            <w:hideMark/>
          </w:tcPr>
          <w:p w:rsidR="009726DD" w:rsidRDefault="009726DD" w:rsidP="009726DD">
            <w:pPr>
              <w:spacing w:after="0"/>
              <w:rPr>
                <w:b/>
                <w:bCs/>
                <w:color w:val="000000"/>
                <w:sz w:val="20"/>
              </w:rPr>
            </w:pPr>
            <w:r>
              <w:rPr>
                <w:b/>
                <w:bCs/>
                <w:color w:val="000000"/>
                <w:sz w:val="20"/>
              </w:rPr>
              <w:t>B</w:t>
            </w:r>
            <w:r w:rsidRPr="007D7325">
              <w:rPr>
                <w:b/>
                <w:bCs/>
                <w:color w:val="000000"/>
                <w:sz w:val="20"/>
              </w:rPr>
              <w:t>eheer:</w:t>
            </w:r>
          </w:p>
          <w:p w:rsidR="009726DD" w:rsidRDefault="009726DD" w:rsidP="009726DD">
            <w:pPr>
              <w:spacing w:after="0"/>
              <w:rPr>
                <w:color w:val="000000"/>
                <w:sz w:val="18"/>
                <w:szCs w:val="18"/>
              </w:rPr>
            </w:pPr>
            <w:r w:rsidRPr="007D7325">
              <w:rPr>
                <w:color w:val="000000"/>
                <w:sz w:val="18"/>
                <w:szCs w:val="18"/>
              </w:rPr>
              <w:t>activeren beheerplan</w:t>
            </w:r>
          </w:p>
          <w:p w:rsidR="009726DD" w:rsidRPr="007D7325" w:rsidRDefault="009726DD" w:rsidP="009726DD">
            <w:pPr>
              <w:spacing w:after="0"/>
              <w:rPr>
                <w:b/>
                <w:bCs/>
                <w:color w:val="000000"/>
                <w:sz w:val="20"/>
              </w:rPr>
            </w:pPr>
            <w:r w:rsidRPr="007D7325">
              <w:rPr>
                <w:color w:val="000000"/>
                <w:sz w:val="18"/>
                <w:szCs w:val="18"/>
              </w:rPr>
              <w:t>revisies</w:t>
            </w:r>
          </w:p>
        </w:tc>
      </w:tr>
      <w:tr w:rsidR="009726DD" w:rsidRPr="007D7325" w:rsidTr="009726DD">
        <w:trPr>
          <w:trHeight w:val="227"/>
        </w:trPr>
        <w:tc>
          <w:tcPr>
            <w:tcW w:w="3180" w:type="dxa"/>
            <w:tcBorders>
              <w:top w:val="nil"/>
              <w:left w:val="single" w:sz="4" w:space="0" w:color="auto"/>
              <w:bottom w:val="nil"/>
              <w:right w:val="single" w:sz="4" w:space="0" w:color="auto"/>
            </w:tcBorders>
            <w:shd w:val="clear" w:color="auto" w:fill="auto"/>
            <w:noWrap/>
            <w:vAlign w:val="bottom"/>
            <w:hideMark/>
          </w:tcPr>
          <w:p w:rsidR="009726DD" w:rsidRPr="007D7325" w:rsidRDefault="009726DD" w:rsidP="009726DD">
            <w:pPr>
              <w:spacing w:after="0"/>
              <w:rPr>
                <w:b/>
                <w:bCs/>
                <w:color w:val="000000"/>
                <w:sz w:val="20"/>
              </w:rPr>
            </w:pP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p>
        </w:tc>
      </w:tr>
      <w:tr w:rsidR="009726DD" w:rsidRPr="007D7325" w:rsidTr="009726DD">
        <w:trPr>
          <w:trHeight w:val="95"/>
        </w:trPr>
        <w:tc>
          <w:tcPr>
            <w:tcW w:w="3180" w:type="dxa"/>
            <w:tcBorders>
              <w:top w:val="nil"/>
              <w:left w:val="single" w:sz="4" w:space="0" w:color="auto"/>
              <w:bottom w:val="nil"/>
              <w:right w:val="single" w:sz="4" w:space="0" w:color="auto"/>
            </w:tcBorders>
            <w:shd w:val="clear" w:color="auto" w:fill="auto"/>
            <w:noWrap/>
            <w:hideMark/>
          </w:tcPr>
          <w:p w:rsidR="009726DD" w:rsidRPr="007D7325" w:rsidRDefault="009726DD" w:rsidP="009726DD">
            <w:pPr>
              <w:spacing w:after="0"/>
              <w:rPr>
                <w:color w:val="000000"/>
                <w:sz w:val="18"/>
                <w:szCs w:val="18"/>
              </w:rPr>
            </w:pP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b/>
                <w:bCs/>
                <w:color w:val="000000"/>
                <w:sz w:val="20"/>
              </w:rPr>
            </w:pP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nil"/>
              <w:right w:val="single" w:sz="4" w:space="0" w:color="auto"/>
            </w:tcBorders>
            <w:shd w:val="clear" w:color="auto" w:fill="auto"/>
            <w:hideMark/>
          </w:tcPr>
          <w:p w:rsidR="009726DD" w:rsidRPr="007D7325" w:rsidRDefault="009726DD" w:rsidP="009726DD">
            <w:pPr>
              <w:spacing w:after="0"/>
              <w:rPr>
                <w:color w:val="000000"/>
                <w:sz w:val="18"/>
                <w:szCs w:val="18"/>
              </w:rPr>
            </w:pPr>
          </w:p>
        </w:tc>
      </w:tr>
      <w:tr w:rsidR="009726DD" w:rsidRPr="007D7325" w:rsidTr="009726DD">
        <w:trPr>
          <w:trHeight w:val="95"/>
        </w:trPr>
        <w:tc>
          <w:tcPr>
            <w:tcW w:w="3180" w:type="dxa"/>
            <w:tcBorders>
              <w:top w:val="nil"/>
              <w:left w:val="single" w:sz="4" w:space="0" w:color="auto"/>
              <w:bottom w:val="single" w:sz="4" w:space="0" w:color="auto"/>
              <w:right w:val="single" w:sz="4" w:space="0" w:color="auto"/>
            </w:tcBorders>
            <w:shd w:val="clear" w:color="auto" w:fill="auto"/>
            <w:vAlign w:val="bottom"/>
            <w:hideMark/>
          </w:tcPr>
          <w:p w:rsidR="009726DD" w:rsidRPr="007D7325" w:rsidRDefault="009726DD" w:rsidP="009726DD">
            <w:pPr>
              <w:spacing w:after="0"/>
              <w:rPr>
                <w:b/>
                <w:bCs/>
                <w:color w:val="000000"/>
                <w:sz w:val="20"/>
              </w:rPr>
            </w:pPr>
          </w:p>
        </w:tc>
        <w:tc>
          <w:tcPr>
            <w:tcW w:w="780" w:type="dxa"/>
            <w:tcBorders>
              <w:top w:val="nil"/>
              <w:left w:val="nil"/>
              <w:bottom w:val="nil"/>
              <w:right w:val="nil"/>
            </w:tcBorders>
            <w:shd w:val="clear" w:color="auto" w:fill="auto"/>
            <w:noWrap/>
            <w:hideMark/>
          </w:tcPr>
          <w:p w:rsidR="009726DD" w:rsidRPr="007D7325" w:rsidRDefault="009726DD" w:rsidP="009726DD">
            <w:pPr>
              <w:spacing w:after="0"/>
              <w:rPr>
                <w:color w:val="000000"/>
                <w:sz w:val="18"/>
                <w:szCs w:val="18"/>
              </w:rPr>
            </w:pPr>
          </w:p>
        </w:tc>
        <w:tc>
          <w:tcPr>
            <w:tcW w:w="2980" w:type="dxa"/>
            <w:tcBorders>
              <w:top w:val="nil"/>
              <w:left w:val="single" w:sz="4" w:space="0" w:color="auto"/>
              <w:bottom w:val="single" w:sz="4" w:space="0" w:color="auto"/>
              <w:right w:val="single" w:sz="4" w:space="0" w:color="auto"/>
            </w:tcBorders>
            <w:shd w:val="clear" w:color="auto" w:fill="auto"/>
            <w:vAlign w:val="bottom"/>
            <w:hideMark/>
          </w:tcPr>
          <w:p w:rsidR="009726DD" w:rsidRPr="007D7325" w:rsidRDefault="009726DD" w:rsidP="009726DD">
            <w:pPr>
              <w:spacing w:after="0"/>
              <w:rPr>
                <w:b/>
                <w:bCs/>
                <w:color w:val="000000"/>
                <w:sz w:val="20"/>
              </w:rPr>
            </w:pPr>
          </w:p>
        </w:tc>
        <w:tc>
          <w:tcPr>
            <w:tcW w:w="780" w:type="dxa"/>
            <w:tcBorders>
              <w:top w:val="nil"/>
              <w:left w:val="nil"/>
              <w:bottom w:val="nil"/>
              <w:right w:val="nil"/>
            </w:tcBorders>
            <w:shd w:val="clear" w:color="auto" w:fill="auto"/>
            <w:noWrap/>
            <w:vAlign w:val="bottom"/>
            <w:hideMark/>
          </w:tcPr>
          <w:p w:rsidR="009726DD" w:rsidRPr="007D7325" w:rsidRDefault="009726DD" w:rsidP="009726DD">
            <w:pPr>
              <w:spacing w:after="0"/>
              <w:rPr>
                <w:color w:val="000000"/>
                <w:szCs w:val="22"/>
              </w:rPr>
            </w:pPr>
          </w:p>
        </w:tc>
        <w:tc>
          <w:tcPr>
            <w:tcW w:w="2860" w:type="dxa"/>
            <w:tcBorders>
              <w:top w:val="nil"/>
              <w:left w:val="single" w:sz="4" w:space="0" w:color="auto"/>
              <w:bottom w:val="single" w:sz="4" w:space="0" w:color="auto"/>
              <w:right w:val="single" w:sz="4" w:space="0" w:color="auto"/>
            </w:tcBorders>
            <w:shd w:val="clear" w:color="auto" w:fill="auto"/>
            <w:vAlign w:val="bottom"/>
            <w:hideMark/>
          </w:tcPr>
          <w:p w:rsidR="009726DD" w:rsidRPr="007D7325" w:rsidRDefault="009726DD" w:rsidP="009726DD">
            <w:pPr>
              <w:spacing w:after="0"/>
              <w:rPr>
                <w:b/>
                <w:bCs/>
                <w:color w:val="000000"/>
                <w:sz w:val="20"/>
              </w:rPr>
            </w:pPr>
          </w:p>
        </w:tc>
      </w:tr>
    </w:tbl>
    <w:p w:rsidR="007E562F" w:rsidRDefault="007E562F" w:rsidP="009726DD">
      <w:pPr>
        <w:ind w:left="-709"/>
        <w:rPr>
          <w:sz w:val="26"/>
          <w:szCs w:val="26"/>
        </w:rPr>
      </w:pPr>
      <w:r w:rsidRPr="007E562F">
        <w:rPr>
          <w:sz w:val="26"/>
          <w:szCs w:val="26"/>
        </w:rPr>
        <w:t>Gemeente Westland</w:t>
      </w:r>
    </w:p>
    <w:p w:rsidR="009726DD" w:rsidRDefault="009726DD" w:rsidP="009726DD">
      <w:pPr>
        <w:spacing w:after="0"/>
        <w:ind w:left="-426"/>
        <w:rPr>
          <w:b/>
          <w:color w:val="000000"/>
          <w:sz w:val="28"/>
          <w:szCs w:val="28"/>
        </w:rPr>
      </w:pPr>
      <w:r w:rsidRPr="00D16DB2">
        <w:rPr>
          <w:b/>
          <w:color w:val="000000"/>
          <w:sz w:val="28"/>
          <w:szCs w:val="28"/>
        </w:rPr>
        <w:lastRenderedPageBreak/>
        <w:t>T</w:t>
      </w:r>
      <w:r>
        <w:rPr>
          <w:b/>
          <w:color w:val="000000"/>
          <w:sz w:val="28"/>
          <w:szCs w:val="28"/>
        </w:rPr>
        <w:t xml:space="preserve">oelichting bij producten in de </w:t>
      </w:r>
      <w:proofErr w:type="spellStart"/>
      <w:r>
        <w:rPr>
          <w:b/>
          <w:color w:val="000000"/>
          <w:sz w:val="28"/>
          <w:szCs w:val="28"/>
        </w:rPr>
        <w:t>Plaberum</w:t>
      </w:r>
      <w:proofErr w:type="spellEnd"/>
      <w:r>
        <w:rPr>
          <w:b/>
          <w:color w:val="000000"/>
          <w:sz w:val="28"/>
          <w:szCs w:val="28"/>
        </w:rPr>
        <w:t xml:space="preserve"> checklist (genummerd)  </w:t>
      </w:r>
    </w:p>
    <w:p w:rsidR="009726DD" w:rsidRDefault="009726DD" w:rsidP="007E562F">
      <w:pPr>
        <w:rPr>
          <w:sz w:val="26"/>
          <w:szCs w:val="26"/>
        </w:rPr>
      </w:pPr>
    </w:p>
    <w:tbl>
      <w:tblPr>
        <w:tblW w:w="11206" w:type="dxa"/>
        <w:tblInd w:w="-426" w:type="dxa"/>
        <w:tblCellMar>
          <w:left w:w="70" w:type="dxa"/>
          <w:right w:w="70" w:type="dxa"/>
        </w:tblCellMar>
        <w:tblLook w:val="04A0" w:firstRow="1" w:lastRow="0" w:firstColumn="1" w:lastColumn="0" w:noHBand="0" w:noVBand="1"/>
      </w:tblPr>
      <w:tblGrid>
        <w:gridCol w:w="479"/>
        <w:gridCol w:w="10248"/>
        <w:gridCol w:w="479"/>
      </w:tblGrid>
      <w:tr w:rsidR="009726DD" w:rsidRPr="00723CE6" w:rsidTr="009726DD">
        <w:trPr>
          <w:gridAfter w:val="1"/>
          <w:wAfter w:w="479" w:type="dxa"/>
          <w:trHeight w:val="285"/>
        </w:trPr>
        <w:tc>
          <w:tcPr>
            <w:tcW w:w="10727" w:type="dxa"/>
            <w:gridSpan w:val="2"/>
            <w:tcBorders>
              <w:top w:val="nil"/>
              <w:left w:val="nil"/>
              <w:bottom w:val="nil"/>
              <w:right w:val="nil"/>
            </w:tcBorders>
            <w:shd w:val="clear" w:color="auto" w:fill="auto"/>
            <w:hideMark/>
          </w:tcPr>
          <w:p w:rsidR="009726DD" w:rsidRPr="004A1941" w:rsidRDefault="009726DD" w:rsidP="009726DD">
            <w:pPr>
              <w:spacing w:after="0"/>
              <w:ind w:left="-66"/>
              <w:rPr>
                <w:b/>
                <w:szCs w:val="22"/>
              </w:rPr>
            </w:pPr>
            <w:r w:rsidRPr="004A1941">
              <w:rPr>
                <w:b/>
                <w:szCs w:val="22"/>
              </w:rPr>
              <w:t xml:space="preserve">1 </w:t>
            </w:r>
            <w:r>
              <w:rPr>
                <w:b/>
                <w:szCs w:val="22"/>
              </w:rPr>
              <w:t xml:space="preserve"> </w:t>
            </w:r>
            <w:r w:rsidRPr="004A1941">
              <w:rPr>
                <w:b/>
                <w:szCs w:val="22"/>
              </w:rPr>
              <w:t>Systeemkeuze afvalinzameling incl. afstemming kosten:</w:t>
            </w:r>
          </w:p>
        </w:tc>
      </w:tr>
      <w:tr w:rsidR="009726DD" w:rsidTr="009726DD">
        <w:trPr>
          <w:gridAfter w:val="1"/>
          <w:wAfter w:w="479" w:type="dxa"/>
          <w:trHeight w:val="1230"/>
        </w:trPr>
        <w:tc>
          <w:tcPr>
            <w:tcW w:w="10727" w:type="dxa"/>
            <w:gridSpan w:val="2"/>
            <w:tcBorders>
              <w:top w:val="nil"/>
              <w:left w:val="nil"/>
              <w:bottom w:val="nil"/>
              <w:right w:val="nil"/>
            </w:tcBorders>
            <w:shd w:val="clear" w:color="auto" w:fill="auto"/>
            <w:hideMark/>
          </w:tcPr>
          <w:p w:rsidR="009726DD" w:rsidRPr="00281B86" w:rsidRDefault="009726DD" w:rsidP="009726DD">
            <w:pPr>
              <w:ind w:left="-66"/>
            </w:pPr>
            <w:r>
              <w:br w:type="page"/>
            </w:r>
            <w:r>
              <w:br w:type="page"/>
            </w:r>
            <w:r>
              <w:br w:type="page"/>
            </w:r>
            <w:r>
              <w:br w:type="page"/>
            </w:r>
            <w:r>
              <w:br w:type="page"/>
            </w:r>
            <w:r w:rsidRPr="004A1941">
              <w:rPr>
                <w:sz w:val="20"/>
              </w:rPr>
              <w:t xml:space="preserve">In een vroegtijdig stadium aangeven van het gewenste systeem voor huishoudelijk afvalinzameling voor laagbouw- en/of hoogbouwwoningen en vastleggen van eventuele kosten consequenties. Tevens kan met het gekozen systeem rekening gehouden worden bij het te ontwikkelen bouwplan. Uitgangspunt is dat voor de afvalinzameling een systeemkeuze gemaakt én goedgekeurd wordt, voordat een bouwplan of plan voor de openbare ruimte definitief is. De richtlijnen hiervoor worden door de integraal specialist als verlener van de omgevingsvergunning, projectleider PO en/of IBOR van de gemeente Westland aangegeven aan de initiatiefnemer. Het voorlopig plan voor de afvalinzameling (4) wordt ter beoordeling aan afdeling IBOR team Reiniging voorgelegd, voordat het bouw- of openbare ruimteplan definitief wordt vastgesteld, al of niet via de omgevingsvergunning. </w:t>
            </w:r>
          </w:p>
          <w:p w:rsidR="009726DD" w:rsidRPr="004A1941" w:rsidRDefault="009726DD" w:rsidP="009726DD">
            <w:pPr>
              <w:spacing w:before="240" w:after="0"/>
              <w:ind w:left="-66"/>
              <w:rPr>
                <w:b/>
                <w:szCs w:val="22"/>
              </w:rPr>
            </w:pPr>
            <w:r w:rsidRPr="004A1941">
              <w:rPr>
                <w:b/>
                <w:szCs w:val="22"/>
              </w:rPr>
              <w:t xml:space="preserve">2 </w:t>
            </w:r>
            <w:r>
              <w:rPr>
                <w:b/>
                <w:szCs w:val="22"/>
              </w:rPr>
              <w:t xml:space="preserve"> </w:t>
            </w:r>
            <w:r w:rsidRPr="004A1941">
              <w:rPr>
                <w:b/>
                <w:szCs w:val="22"/>
              </w:rPr>
              <w:t xml:space="preserve">Principe rioleringsontwerp plangebied: </w:t>
            </w:r>
          </w:p>
          <w:p w:rsidR="009726DD" w:rsidRPr="004A1941" w:rsidRDefault="009726DD" w:rsidP="009726DD">
            <w:pPr>
              <w:ind w:left="-66"/>
              <w:rPr>
                <w:sz w:val="20"/>
              </w:rPr>
            </w:pPr>
            <w:r w:rsidRPr="004A1941">
              <w:rPr>
                <w:sz w:val="20"/>
              </w:rPr>
              <w:t xml:space="preserve">Rioleringsontwerp van het gehele plangebied met overzichtstekeningen, berekeningen, hoogteligging riolering en maaiveld, toegepaste materialen en aansluitvergunningen voor de hoofdriolering. Op basis van dit ontwerp worden </w:t>
            </w:r>
            <w:proofErr w:type="spellStart"/>
            <w:r w:rsidRPr="004A1941">
              <w:rPr>
                <w:sz w:val="20"/>
              </w:rPr>
              <w:t>deelriolerings</w:t>
            </w:r>
            <w:proofErr w:type="spellEnd"/>
            <w:r w:rsidRPr="004A1941">
              <w:rPr>
                <w:sz w:val="20"/>
              </w:rPr>
              <w:t>- en drainageplannen getoetst.</w:t>
            </w:r>
          </w:p>
          <w:p w:rsidR="009726DD" w:rsidRPr="004A1941" w:rsidRDefault="009726DD" w:rsidP="009726DD">
            <w:pPr>
              <w:spacing w:after="0"/>
              <w:ind w:left="-66"/>
              <w:rPr>
                <w:b/>
                <w:szCs w:val="22"/>
              </w:rPr>
            </w:pPr>
            <w:r w:rsidRPr="004A1941">
              <w:rPr>
                <w:b/>
                <w:szCs w:val="22"/>
              </w:rPr>
              <w:t xml:space="preserve">3 </w:t>
            </w:r>
            <w:r>
              <w:rPr>
                <w:b/>
                <w:szCs w:val="22"/>
              </w:rPr>
              <w:t xml:space="preserve"> </w:t>
            </w:r>
            <w:r w:rsidRPr="004A1941">
              <w:rPr>
                <w:b/>
                <w:szCs w:val="22"/>
              </w:rPr>
              <w:t>Groenplan inclusief spelen:</w:t>
            </w:r>
          </w:p>
          <w:p w:rsidR="009726DD" w:rsidRPr="004A1941" w:rsidRDefault="009726DD" w:rsidP="009726DD">
            <w:pPr>
              <w:spacing w:after="0"/>
              <w:ind w:left="-66"/>
              <w:rPr>
                <w:color w:val="000000"/>
                <w:sz w:val="20"/>
              </w:rPr>
            </w:pPr>
            <w:r w:rsidRPr="00D16DB2">
              <w:rPr>
                <w:szCs w:val="22"/>
              </w:rPr>
              <w:t>Ontwerp voor groen- en speelvoorzieningen, apart of ingetekend op het inrichtingsplan (IP), inclusief indicatie sortiment bomen/ heesters/ type gras plus inri</w:t>
            </w:r>
            <w:r w:rsidRPr="00D16DB2">
              <w:rPr>
                <w:color w:val="000000"/>
                <w:sz w:val="20"/>
              </w:rPr>
              <w:t>chting speelplek(ken) met leeftijdscategorie</w:t>
            </w:r>
            <w:r w:rsidRPr="004A1941">
              <w:rPr>
                <w:color w:val="000000"/>
                <w:sz w:val="20"/>
              </w:rPr>
              <w:t xml:space="preserve"> en speeloppervlak.  </w:t>
            </w:r>
          </w:p>
          <w:p w:rsidR="009726DD" w:rsidRDefault="009726DD" w:rsidP="009726DD">
            <w:pPr>
              <w:spacing w:before="240" w:after="0"/>
              <w:ind w:left="-66"/>
              <w:rPr>
                <w:b/>
                <w:szCs w:val="22"/>
              </w:rPr>
            </w:pPr>
            <w:r>
              <w:rPr>
                <w:b/>
                <w:szCs w:val="22"/>
              </w:rPr>
              <w:t xml:space="preserve">4  </w:t>
            </w:r>
            <w:r w:rsidRPr="004A1941">
              <w:rPr>
                <w:b/>
                <w:szCs w:val="22"/>
              </w:rPr>
              <w:t>Plan afvalinzameling:</w:t>
            </w:r>
          </w:p>
          <w:p w:rsidR="009726DD" w:rsidRDefault="009726DD" w:rsidP="009726DD">
            <w:pPr>
              <w:ind w:left="-66"/>
              <w:rPr>
                <w:sz w:val="20"/>
              </w:rPr>
            </w:pPr>
            <w:r w:rsidRPr="004A1941">
              <w:rPr>
                <w:sz w:val="20"/>
              </w:rPr>
              <w:t>In het voorlopig inrichtingsplan (VOIP) openbare ruimte, op basis van de richtlijnen de benodigde aanbiedlocaties aangeven voor huishoudelijk afval (plaats/ omvang/ soort afval) en/of milieu-eilanden.</w:t>
            </w:r>
          </w:p>
          <w:p w:rsidR="009726DD" w:rsidRDefault="009726DD" w:rsidP="009726DD">
            <w:pPr>
              <w:spacing w:after="0"/>
              <w:ind w:left="-66"/>
              <w:rPr>
                <w:sz w:val="20"/>
              </w:rPr>
            </w:pPr>
            <w:r w:rsidRPr="004A1941">
              <w:rPr>
                <w:sz w:val="20"/>
              </w:rPr>
              <w:t>De volgende procesgang dient gevolgd te worden:</w:t>
            </w:r>
          </w:p>
          <w:p w:rsidR="009726DD" w:rsidRPr="004A1941" w:rsidRDefault="009726DD" w:rsidP="009726DD">
            <w:pPr>
              <w:ind w:left="-66"/>
              <w:rPr>
                <w:color w:val="000000"/>
                <w:sz w:val="20"/>
              </w:rPr>
            </w:pPr>
            <w:r w:rsidRPr="004A1941">
              <w:rPr>
                <w:color w:val="000000"/>
                <w:sz w:val="20"/>
              </w:rPr>
              <w:t xml:space="preserve">Het plan voor afvalinzameling wordt door de integraal specialist, PL PO en/of IBOR ter advisering aan team Reiniging voorgelegd. Team Reiniging geeft na overleg met de afvalinzamelaar aan of de standaard richtlijn van toepassing is of een specifiek inzamelplan opgesteld moet worden. Voor het opstellen van een specifiek inzamelplan geeft team Reiniging een korte omschrijving van doel, inhoud, tijdsduur en kosten aan de integraal specialist, PL PO en/of IBOR. PO en/of IBOR keurt het inzamelplan inclusief kosten goed en draagt zorg voor de verdere voorbereiding, te regelen financiering en uitvoering van het inzamelplan. </w:t>
            </w:r>
          </w:p>
          <w:p w:rsidR="009726DD" w:rsidRPr="00F4647B" w:rsidRDefault="009726DD" w:rsidP="009726DD">
            <w:pPr>
              <w:spacing w:after="0"/>
              <w:ind w:left="-66"/>
              <w:rPr>
                <w:b/>
                <w:szCs w:val="22"/>
              </w:rPr>
            </w:pPr>
            <w:r>
              <w:rPr>
                <w:b/>
                <w:szCs w:val="22"/>
              </w:rPr>
              <w:t xml:space="preserve">5  </w:t>
            </w:r>
            <w:r w:rsidRPr="00F4647B">
              <w:rPr>
                <w:b/>
                <w:szCs w:val="22"/>
              </w:rPr>
              <w:t>Rioleringsplan:</w:t>
            </w:r>
          </w:p>
          <w:p w:rsidR="009726DD" w:rsidRPr="00F4647B" w:rsidRDefault="009726DD" w:rsidP="009726DD">
            <w:pPr>
              <w:ind w:left="-66"/>
              <w:rPr>
                <w:color w:val="000000"/>
                <w:sz w:val="20"/>
              </w:rPr>
            </w:pPr>
            <w:r w:rsidRPr="00F4647B">
              <w:rPr>
                <w:color w:val="000000"/>
                <w:sz w:val="20"/>
              </w:rPr>
              <w:t xml:space="preserve">Op basis van het inrichtingsplan een plan voor de riolering, bestaande uit een overzichtstekening(en), berekening(en), hoogteligging riolering en maaiveld,  toegepaste materialen en </w:t>
            </w:r>
            <w:proofErr w:type="spellStart"/>
            <w:r w:rsidRPr="00F4647B">
              <w:rPr>
                <w:color w:val="000000"/>
                <w:sz w:val="20"/>
              </w:rPr>
              <w:t>aansluitingvergunning</w:t>
            </w:r>
            <w:proofErr w:type="spellEnd"/>
            <w:r w:rsidRPr="00F4647B">
              <w:rPr>
                <w:color w:val="000000"/>
                <w:sz w:val="20"/>
              </w:rPr>
              <w:t xml:space="preserve"> voor de hoofdriolering.</w:t>
            </w:r>
          </w:p>
          <w:p w:rsidR="009726DD" w:rsidRPr="00F4647B" w:rsidRDefault="009726DD" w:rsidP="009726DD">
            <w:pPr>
              <w:spacing w:after="0"/>
              <w:ind w:left="-66"/>
              <w:rPr>
                <w:sz w:val="20"/>
              </w:rPr>
            </w:pPr>
            <w:r w:rsidRPr="00F4647B">
              <w:rPr>
                <w:sz w:val="20"/>
              </w:rPr>
              <w:t>De volgende procesgang dient gevolgd te worden:</w:t>
            </w:r>
          </w:p>
          <w:p w:rsidR="009726DD" w:rsidRPr="00F4647B" w:rsidRDefault="009726DD" w:rsidP="009726DD">
            <w:pPr>
              <w:ind w:left="-66"/>
              <w:rPr>
                <w:color w:val="000000"/>
                <w:sz w:val="20"/>
              </w:rPr>
            </w:pPr>
            <w:r w:rsidRPr="00F4647B">
              <w:rPr>
                <w:sz w:val="20"/>
              </w:rPr>
              <w:t xml:space="preserve">Het rioleringsplan wordt opgesteld op basis van de in het </w:t>
            </w:r>
            <w:proofErr w:type="spellStart"/>
            <w:r w:rsidRPr="00F4647B">
              <w:rPr>
                <w:sz w:val="20"/>
              </w:rPr>
              <w:t>PvS</w:t>
            </w:r>
            <w:proofErr w:type="spellEnd"/>
            <w:r w:rsidRPr="00F4647B">
              <w:rPr>
                <w:sz w:val="20"/>
              </w:rPr>
              <w:t xml:space="preserve"> aangegeven ontwerpnormen en –uitgangspunten. Na goedkeuring door gemeente Westland afdeling IBOR wordt het plan uitgewerkt in een bestek met tekeningen. Voorafgaand aan de aanleg </w:t>
            </w:r>
            <w:r w:rsidRPr="00F4647B">
              <w:rPr>
                <w:color w:val="000000"/>
                <w:sz w:val="20"/>
              </w:rPr>
              <w:t>van een riolering, rioolputten en eventuele gemalen wordt een funderingsadvies/berekeningen overlegd. De initiatiefnemer maakt vooraf afspraken met IBOR over een afsluiting of (tijdelijke) omleiding van het riool.</w:t>
            </w:r>
          </w:p>
          <w:p w:rsidR="009726DD" w:rsidRPr="00F4647B" w:rsidRDefault="009726DD" w:rsidP="009726DD">
            <w:pPr>
              <w:spacing w:after="0"/>
              <w:ind w:left="-66"/>
              <w:rPr>
                <w:b/>
                <w:color w:val="000000"/>
                <w:szCs w:val="22"/>
              </w:rPr>
            </w:pPr>
            <w:r w:rsidRPr="00F4647B">
              <w:rPr>
                <w:b/>
                <w:color w:val="000000"/>
                <w:szCs w:val="22"/>
              </w:rPr>
              <w:t>6  Drainageplan:</w:t>
            </w:r>
          </w:p>
          <w:p w:rsidR="009726DD" w:rsidRPr="00F4647B" w:rsidRDefault="009726DD" w:rsidP="009726DD">
            <w:pPr>
              <w:ind w:left="-66"/>
              <w:rPr>
                <w:color w:val="000000"/>
                <w:sz w:val="20"/>
              </w:rPr>
            </w:pPr>
            <w:r w:rsidRPr="00F4647B">
              <w:rPr>
                <w:color w:val="000000"/>
                <w:sz w:val="20"/>
              </w:rPr>
              <w:t xml:space="preserve">Een plan met verwerking van de gegevens van grond- en grondwateronderzoek, funderingsonderzoek van bebouwing binnen het </w:t>
            </w:r>
            <w:proofErr w:type="spellStart"/>
            <w:r w:rsidRPr="00F4647B">
              <w:rPr>
                <w:color w:val="000000"/>
                <w:sz w:val="20"/>
              </w:rPr>
              <w:t>invloedsgebied</w:t>
            </w:r>
            <w:proofErr w:type="spellEnd"/>
            <w:r w:rsidRPr="00F4647B">
              <w:rPr>
                <w:color w:val="000000"/>
                <w:sz w:val="20"/>
              </w:rPr>
              <w:t xml:space="preserve"> en de effecten van grondwaterstandverlaging op zetting.</w:t>
            </w:r>
          </w:p>
          <w:p w:rsidR="009726DD" w:rsidRDefault="009726DD" w:rsidP="009726DD">
            <w:pPr>
              <w:spacing w:after="0"/>
              <w:ind w:left="-66"/>
              <w:rPr>
                <w:b/>
                <w:bCs/>
                <w:color w:val="000000"/>
                <w:szCs w:val="22"/>
              </w:rPr>
            </w:pPr>
            <w:r>
              <w:rPr>
                <w:b/>
                <w:bCs/>
                <w:color w:val="000000"/>
                <w:szCs w:val="22"/>
              </w:rPr>
              <w:t>7  Beplantingsplan:</w:t>
            </w:r>
          </w:p>
          <w:p w:rsidR="009726DD" w:rsidRDefault="009726DD" w:rsidP="009726DD">
            <w:pPr>
              <w:ind w:left="-66"/>
              <w:rPr>
                <w:color w:val="000000"/>
                <w:sz w:val="20"/>
              </w:rPr>
            </w:pPr>
            <w:r w:rsidRPr="00F4647B">
              <w:rPr>
                <w:color w:val="000000"/>
                <w:sz w:val="20"/>
              </w:rPr>
              <w:t xml:space="preserve">Op basis van het groenplan een gedetailleerde uitwerking ten behoeve van de aanplant van groenvoorzieningen. Omvat planvakken met beplantingssortiment en aantallen, plantafstanden, zaadmengsels, leveringskenmerken (boommaten </w:t>
            </w:r>
            <w:proofErr w:type="spellStart"/>
            <w:r w:rsidRPr="00F4647B">
              <w:rPr>
                <w:color w:val="000000"/>
                <w:sz w:val="20"/>
              </w:rPr>
              <w:t>e.a</w:t>
            </w:r>
            <w:proofErr w:type="spellEnd"/>
            <w:r w:rsidRPr="00F4647B">
              <w:rPr>
                <w:color w:val="000000"/>
                <w:sz w:val="20"/>
              </w:rPr>
              <w:t>).</w:t>
            </w:r>
          </w:p>
          <w:p w:rsidR="009726DD" w:rsidRDefault="009726DD" w:rsidP="009726DD">
            <w:pPr>
              <w:ind w:left="-66"/>
              <w:rPr>
                <w:color w:val="000000"/>
                <w:sz w:val="20"/>
              </w:rPr>
            </w:pPr>
          </w:p>
          <w:p w:rsidR="009726DD" w:rsidRDefault="009726DD" w:rsidP="009726DD">
            <w:pPr>
              <w:ind w:left="-66"/>
              <w:rPr>
                <w:color w:val="000000"/>
                <w:sz w:val="20"/>
              </w:rPr>
            </w:pPr>
          </w:p>
          <w:p w:rsidR="009726DD" w:rsidRDefault="009726DD" w:rsidP="009726DD">
            <w:pPr>
              <w:ind w:left="-66"/>
              <w:rPr>
                <w:color w:val="000000"/>
                <w:sz w:val="20"/>
              </w:rPr>
            </w:pPr>
          </w:p>
          <w:p w:rsidR="009726DD" w:rsidRDefault="009726DD" w:rsidP="009726DD">
            <w:pPr>
              <w:ind w:left="-66"/>
              <w:rPr>
                <w:color w:val="000000"/>
                <w:sz w:val="20"/>
              </w:rPr>
            </w:pPr>
          </w:p>
          <w:p w:rsidR="009726DD" w:rsidRDefault="009726DD" w:rsidP="009726DD">
            <w:pPr>
              <w:ind w:left="-66"/>
              <w:rPr>
                <w:color w:val="000000"/>
                <w:sz w:val="20"/>
              </w:rPr>
            </w:pPr>
          </w:p>
          <w:p w:rsidR="009726DD" w:rsidRDefault="009726DD" w:rsidP="009726DD">
            <w:pPr>
              <w:ind w:left="-66"/>
              <w:rPr>
                <w:color w:val="000000"/>
                <w:sz w:val="20"/>
              </w:rPr>
            </w:pPr>
          </w:p>
          <w:p w:rsidR="009726DD" w:rsidRDefault="009726DD" w:rsidP="009726DD">
            <w:pPr>
              <w:ind w:left="-66"/>
              <w:rPr>
                <w:b/>
                <w:sz w:val="28"/>
                <w:szCs w:val="28"/>
              </w:rPr>
            </w:pPr>
            <w:r w:rsidRPr="00B70007">
              <w:rPr>
                <w:b/>
                <w:sz w:val="28"/>
                <w:szCs w:val="28"/>
              </w:rPr>
              <w:lastRenderedPageBreak/>
              <w:t>Procesmatigheden planvoorbereiding en realisatie</w:t>
            </w:r>
            <w:bookmarkStart w:id="1" w:name="_Toc340958528"/>
            <w:bookmarkEnd w:id="1"/>
          </w:p>
          <w:tbl>
            <w:tblPr>
              <w:tblW w:w="105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167"/>
              <w:gridCol w:w="763"/>
              <w:gridCol w:w="7232"/>
              <w:gridCol w:w="1409"/>
            </w:tblGrid>
            <w:tr w:rsidR="009726DD" w:rsidRPr="00AF0617" w:rsidTr="0046301E">
              <w:tc>
                <w:tcPr>
                  <w:tcW w:w="1167" w:type="dxa"/>
                  <w:shd w:val="clear" w:color="auto" w:fill="BFBFBF"/>
                </w:tcPr>
                <w:p w:rsidR="009726DD" w:rsidRPr="00AF0617" w:rsidRDefault="009726DD" w:rsidP="009726DD">
                  <w:pPr>
                    <w:overflowPunct w:val="0"/>
                    <w:autoSpaceDE w:val="0"/>
                    <w:autoSpaceDN w:val="0"/>
                    <w:adjustRightInd w:val="0"/>
                    <w:textAlignment w:val="baseline"/>
                    <w:rPr>
                      <w:b/>
                      <w:bCs/>
                    </w:rPr>
                  </w:pPr>
                  <w:r>
                    <w:rPr>
                      <w:b/>
                      <w:bCs/>
                    </w:rPr>
                    <w:t>Hoofdstuk</w:t>
                  </w:r>
                </w:p>
              </w:tc>
              <w:tc>
                <w:tcPr>
                  <w:tcW w:w="763" w:type="dxa"/>
                  <w:shd w:val="clear" w:color="auto" w:fill="BFBFBF"/>
                </w:tcPr>
                <w:p w:rsidR="009726DD" w:rsidRPr="00AF0617" w:rsidRDefault="009726DD" w:rsidP="009726DD">
                  <w:pPr>
                    <w:overflowPunct w:val="0"/>
                    <w:autoSpaceDE w:val="0"/>
                    <w:autoSpaceDN w:val="0"/>
                    <w:adjustRightInd w:val="0"/>
                    <w:textAlignment w:val="baseline"/>
                    <w:rPr>
                      <w:b/>
                    </w:rPr>
                  </w:pPr>
                  <w:r>
                    <w:rPr>
                      <w:b/>
                    </w:rPr>
                    <w:t>par</w:t>
                  </w:r>
                </w:p>
              </w:tc>
              <w:tc>
                <w:tcPr>
                  <w:tcW w:w="7232" w:type="dxa"/>
                  <w:shd w:val="clear" w:color="auto" w:fill="BFBFBF"/>
                </w:tcPr>
                <w:p w:rsidR="009726DD" w:rsidRPr="00AF0617" w:rsidRDefault="009726DD" w:rsidP="009726DD">
                  <w:pPr>
                    <w:overflowPunct w:val="0"/>
                    <w:autoSpaceDE w:val="0"/>
                    <w:autoSpaceDN w:val="0"/>
                    <w:adjustRightInd w:val="0"/>
                    <w:textAlignment w:val="baseline"/>
                    <w:rPr>
                      <w:b/>
                    </w:rPr>
                  </w:pPr>
                  <w:r>
                    <w:rPr>
                      <w:b/>
                    </w:rPr>
                    <w:t>Onderwerp</w:t>
                  </w:r>
                </w:p>
              </w:tc>
              <w:tc>
                <w:tcPr>
                  <w:tcW w:w="1409" w:type="dxa"/>
                  <w:shd w:val="clear" w:color="auto" w:fill="BFBFBF"/>
                </w:tcPr>
                <w:p w:rsidR="009726DD" w:rsidRPr="00AF0617" w:rsidRDefault="009726DD" w:rsidP="009726DD">
                  <w:pPr>
                    <w:overflowPunct w:val="0"/>
                    <w:autoSpaceDE w:val="0"/>
                    <w:autoSpaceDN w:val="0"/>
                    <w:adjustRightInd w:val="0"/>
                    <w:textAlignment w:val="baseline"/>
                    <w:rPr>
                      <w:b/>
                    </w:rPr>
                  </w:pPr>
                  <w:proofErr w:type="spellStart"/>
                  <w:r>
                    <w:rPr>
                      <w:b/>
                    </w:rPr>
                    <w:t>Verantw</w:t>
                  </w:r>
                  <w:proofErr w:type="spellEnd"/>
                  <w:r>
                    <w:rPr>
                      <w:b/>
                    </w:rPr>
                    <w:t xml:space="preserve">. </w:t>
                  </w:r>
                  <w:proofErr w:type="spellStart"/>
                  <w:r>
                    <w:rPr>
                      <w:b/>
                    </w:rPr>
                    <w:t>afd</w:t>
                  </w:r>
                  <w:proofErr w:type="spellEnd"/>
                </w:p>
              </w:tc>
            </w:tr>
            <w:tr w:rsidR="009726DD" w:rsidRPr="003416BA" w:rsidTr="0046301E">
              <w:trPr>
                <w:trHeight w:val="283"/>
              </w:trPr>
              <w:tc>
                <w:tcPr>
                  <w:tcW w:w="1167" w:type="dxa"/>
                  <w:shd w:val="clear" w:color="auto" w:fill="auto"/>
                  <w:vAlign w:val="center"/>
                </w:tcPr>
                <w:p w:rsidR="009726DD" w:rsidRPr="00FA16D9" w:rsidRDefault="009726DD" w:rsidP="009726DD">
                  <w:pPr>
                    <w:overflowPunct w:val="0"/>
                    <w:autoSpaceDE w:val="0"/>
                    <w:autoSpaceDN w:val="0"/>
                    <w:adjustRightInd w:val="0"/>
                    <w:textAlignment w:val="baseline"/>
                    <w:rPr>
                      <w:sz w:val="18"/>
                      <w:szCs w:val="18"/>
                    </w:rPr>
                  </w:pPr>
                  <w:r w:rsidRPr="00FA16D9">
                    <w:rPr>
                      <w:sz w:val="18"/>
                      <w:szCs w:val="18"/>
                    </w:rPr>
                    <w:t>Riolering</w:t>
                  </w:r>
                </w:p>
              </w:tc>
              <w:tc>
                <w:tcPr>
                  <w:tcW w:w="763" w:type="dxa"/>
                  <w:shd w:val="clear" w:color="auto" w:fill="auto"/>
                  <w:vAlign w:val="center"/>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center"/>
                </w:tcPr>
                <w:p w:rsidR="009726DD" w:rsidRPr="00FA16D9" w:rsidRDefault="009726DD" w:rsidP="009726DD">
                  <w:pPr>
                    <w:overflowPunct w:val="0"/>
                    <w:autoSpaceDE w:val="0"/>
                    <w:autoSpaceDN w:val="0"/>
                    <w:adjustRightInd w:val="0"/>
                    <w:textAlignment w:val="baseline"/>
                    <w:rPr>
                      <w:sz w:val="18"/>
                      <w:szCs w:val="18"/>
                    </w:rPr>
                  </w:pPr>
                  <w:r w:rsidRPr="00FA16D9">
                    <w:rPr>
                      <w:sz w:val="18"/>
                      <w:szCs w:val="18"/>
                    </w:rPr>
                    <w:t>Afspraken maken over afsluiting of tijdelijke omleiding van het riool</w:t>
                  </w:r>
                </w:p>
              </w:tc>
              <w:tc>
                <w:tcPr>
                  <w:tcW w:w="1409" w:type="dxa"/>
                  <w:shd w:val="clear" w:color="auto" w:fill="auto"/>
                  <w:vAlign w:val="center"/>
                </w:tcPr>
                <w:p w:rsidR="009726DD" w:rsidRPr="00FA16D9" w:rsidRDefault="009726DD" w:rsidP="009726DD">
                  <w:pPr>
                    <w:overflowPunct w:val="0"/>
                    <w:autoSpaceDE w:val="0"/>
                    <w:autoSpaceDN w:val="0"/>
                    <w:adjustRightInd w:val="0"/>
                    <w:textAlignment w:val="baseline"/>
                    <w:rPr>
                      <w:sz w:val="18"/>
                      <w:szCs w:val="18"/>
                    </w:rPr>
                  </w:pPr>
                  <w:r w:rsidRPr="00FA16D9">
                    <w:rPr>
                      <w:sz w:val="18"/>
                      <w:szCs w:val="18"/>
                    </w:rPr>
                    <w:t>IBOR</w:t>
                  </w:r>
                </w:p>
              </w:tc>
            </w:tr>
            <w:tr w:rsidR="009726DD" w:rsidRPr="003416BA" w:rsidTr="0046301E">
              <w:trPr>
                <w:trHeight w:val="283"/>
              </w:trPr>
              <w:tc>
                <w:tcPr>
                  <w:tcW w:w="1167" w:type="dxa"/>
                  <w:shd w:val="clear" w:color="auto" w:fill="auto"/>
                  <w:vAlign w:val="center"/>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vAlign w:val="center"/>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center"/>
                </w:tcPr>
                <w:p w:rsidR="009726DD" w:rsidRPr="002A2DDC" w:rsidRDefault="009726DD" w:rsidP="009726DD">
                  <w:pPr>
                    <w:rPr>
                      <w:sz w:val="18"/>
                      <w:szCs w:val="18"/>
                    </w:rPr>
                  </w:pPr>
                  <w:r>
                    <w:rPr>
                      <w:color w:val="000000"/>
                      <w:sz w:val="18"/>
                      <w:szCs w:val="18"/>
                    </w:rPr>
                    <w:t xml:space="preserve">Goedkeuring voor het aanbrengen van </w:t>
                  </w:r>
                  <w:proofErr w:type="spellStart"/>
                  <w:r>
                    <w:rPr>
                      <w:color w:val="000000"/>
                      <w:sz w:val="18"/>
                      <w:szCs w:val="18"/>
                    </w:rPr>
                    <w:t>lekweg</w:t>
                  </w:r>
                  <w:proofErr w:type="spellEnd"/>
                  <w:r>
                    <w:rPr>
                      <w:color w:val="000000"/>
                      <w:sz w:val="18"/>
                      <w:szCs w:val="18"/>
                    </w:rPr>
                    <w:t xml:space="preserve"> verkorting (tevens bij nutsbedrijven)</w:t>
                  </w:r>
                </w:p>
              </w:tc>
              <w:tc>
                <w:tcPr>
                  <w:tcW w:w="1409" w:type="dxa"/>
                  <w:shd w:val="clear" w:color="auto" w:fill="auto"/>
                  <w:vAlign w:val="center"/>
                </w:tcPr>
                <w:p w:rsidR="009726DD" w:rsidRPr="002A2DDC" w:rsidRDefault="009726DD" w:rsidP="009726DD">
                  <w:pPr>
                    <w:overflowPunct w:val="0"/>
                    <w:autoSpaceDE w:val="0"/>
                    <w:autoSpaceDN w:val="0"/>
                    <w:adjustRightInd w:val="0"/>
                    <w:textAlignment w:val="baseline"/>
                    <w:rPr>
                      <w:sz w:val="18"/>
                      <w:szCs w:val="18"/>
                    </w:rPr>
                  </w:pPr>
                  <w:r>
                    <w:rPr>
                      <w:sz w:val="18"/>
                      <w:szCs w:val="18"/>
                    </w:rPr>
                    <w:t>IBOR grijs</w:t>
                  </w:r>
                </w:p>
              </w:tc>
            </w:tr>
            <w:tr w:rsidR="009726DD" w:rsidRPr="003416BA" w:rsidTr="0046301E">
              <w:trPr>
                <w:trHeight w:val="283"/>
              </w:trPr>
              <w:tc>
                <w:tcPr>
                  <w:tcW w:w="1167" w:type="dxa"/>
                  <w:shd w:val="clear" w:color="auto" w:fill="auto"/>
                  <w:vAlign w:val="center"/>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vAlign w:val="center"/>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center"/>
                </w:tcPr>
                <w:p w:rsidR="009726DD" w:rsidRPr="002A2DDC" w:rsidRDefault="009726DD" w:rsidP="009726DD">
                  <w:pPr>
                    <w:rPr>
                      <w:sz w:val="18"/>
                      <w:szCs w:val="18"/>
                    </w:rPr>
                  </w:pPr>
                  <w:r>
                    <w:rPr>
                      <w:color w:val="000000"/>
                      <w:sz w:val="18"/>
                      <w:szCs w:val="18"/>
                    </w:rPr>
                    <w:t xml:space="preserve">Goedkeuring voor aansluiting drainageleidingen op DWA-  of gemengd stelsel </w:t>
                  </w:r>
                </w:p>
              </w:tc>
              <w:tc>
                <w:tcPr>
                  <w:tcW w:w="1409" w:type="dxa"/>
                  <w:shd w:val="clear" w:color="auto" w:fill="auto"/>
                  <w:vAlign w:val="center"/>
                </w:tcPr>
                <w:p w:rsidR="009726DD" w:rsidRPr="002A2DDC" w:rsidRDefault="009726DD" w:rsidP="009726DD">
                  <w:pPr>
                    <w:overflowPunct w:val="0"/>
                    <w:autoSpaceDE w:val="0"/>
                    <w:autoSpaceDN w:val="0"/>
                    <w:adjustRightInd w:val="0"/>
                    <w:textAlignment w:val="baseline"/>
                    <w:rPr>
                      <w:sz w:val="18"/>
                      <w:szCs w:val="18"/>
                    </w:rPr>
                  </w:pPr>
                  <w:r>
                    <w:rPr>
                      <w:sz w:val="18"/>
                      <w:szCs w:val="18"/>
                    </w:rPr>
                    <w:t>IBOR grijs</w:t>
                  </w:r>
                </w:p>
              </w:tc>
            </w:tr>
            <w:tr w:rsidR="009726DD" w:rsidRPr="003416BA" w:rsidTr="0046301E">
              <w:trPr>
                <w:trHeight w:val="283"/>
              </w:trPr>
              <w:tc>
                <w:tcPr>
                  <w:tcW w:w="1167" w:type="dxa"/>
                  <w:shd w:val="clear" w:color="auto" w:fill="auto"/>
                  <w:vAlign w:val="center"/>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vAlign w:val="center"/>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center"/>
                </w:tcPr>
                <w:p w:rsidR="009726DD" w:rsidRPr="002A2DDC" w:rsidRDefault="009726DD" w:rsidP="009726DD">
                  <w:pPr>
                    <w:rPr>
                      <w:sz w:val="18"/>
                      <w:szCs w:val="18"/>
                    </w:rPr>
                  </w:pPr>
                  <w:r>
                    <w:rPr>
                      <w:color w:val="000000"/>
                      <w:sz w:val="18"/>
                      <w:szCs w:val="18"/>
                    </w:rPr>
                    <w:t xml:space="preserve">Vooraf beoordelen alternatief systeem inzameling, transport en verwerking hemelwater  </w:t>
                  </w:r>
                </w:p>
              </w:tc>
              <w:tc>
                <w:tcPr>
                  <w:tcW w:w="1409" w:type="dxa"/>
                  <w:shd w:val="clear" w:color="auto" w:fill="auto"/>
                  <w:vAlign w:val="center"/>
                </w:tcPr>
                <w:p w:rsidR="009726DD" w:rsidRPr="002A2DDC" w:rsidRDefault="009726DD" w:rsidP="009726DD">
                  <w:pPr>
                    <w:overflowPunct w:val="0"/>
                    <w:autoSpaceDE w:val="0"/>
                    <w:autoSpaceDN w:val="0"/>
                    <w:adjustRightInd w:val="0"/>
                    <w:textAlignment w:val="baseline"/>
                    <w:rPr>
                      <w:sz w:val="18"/>
                      <w:szCs w:val="18"/>
                    </w:rPr>
                  </w:pPr>
                  <w:r>
                    <w:rPr>
                      <w:sz w:val="18"/>
                      <w:szCs w:val="18"/>
                    </w:rPr>
                    <w:t>IBOR grijs</w:t>
                  </w:r>
                </w:p>
              </w:tc>
            </w:tr>
            <w:tr w:rsidR="009726DD" w:rsidRPr="003416BA" w:rsidTr="0046301E">
              <w:trPr>
                <w:trHeight w:val="283"/>
              </w:trPr>
              <w:tc>
                <w:tcPr>
                  <w:tcW w:w="1167" w:type="dxa"/>
                  <w:shd w:val="clear" w:color="auto" w:fill="auto"/>
                  <w:vAlign w:val="center"/>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vAlign w:val="center"/>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center"/>
                </w:tcPr>
                <w:p w:rsidR="009726DD" w:rsidRPr="002A2DDC" w:rsidRDefault="009726DD" w:rsidP="009726DD">
                  <w:pPr>
                    <w:rPr>
                      <w:sz w:val="18"/>
                      <w:szCs w:val="18"/>
                    </w:rPr>
                  </w:pPr>
                  <w:r>
                    <w:rPr>
                      <w:color w:val="000000"/>
                      <w:sz w:val="18"/>
                      <w:szCs w:val="18"/>
                    </w:rPr>
                    <w:t>Uitsluitend overleg ten behoeve van het toepassen van drainage</w:t>
                  </w:r>
                </w:p>
              </w:tc>
              <w:tc>
                <w:tcPr>
                  <w:tcW w:w="1409" w:type="dxa"/>
                  <w:shd w:val="clear" w:color="auto" w:fill="auto"/>
                  <w:vAlign w:val="center"/>
                </w:tcPr>
                <w:p w:rsidR="009726DD" w:rsidRPr="002A2DDC" w:rsidRDefault="009726DD" w:rsidP="009726DD">
                  <w:pPr>
                    <w:overflowPunct w:val="0"/>
                    <w:autoSpaceDE w:val="0"/>
                    <w:autoSpaceDN w:val="0"/>
                    <w:adjustRightInd w:val="0"/>
                    <w:textAlignment w:val="baseline"/>
                    <w:rPr>
                      <w:sz w:val="18"/>
                      <w:szCs w:val="18"/>
                    </w:rPr>
                  </w:pPr>
                  <w:r>
                    <w:rPr>
                      <w:sz w:val="18"/>
                      <w:szCs w:val="18"/>
                    </w:rPr>
                    <w:t>IBOR grijs</w:t>
                  </w:r>
                </w:p>
              </w:tc>
            </w:tr>
            <w:tr w:rsidR="009726DD" w:rsidRPr="003416BA" w:rsidTr="0046301E">
              <w:trPr>
                <w:trHeight w:val="283"/>
              </w:trPr>
              <w:tc>
                <w:tcPr>
                  <w:tcW w:w="1167" w:type="dxa"/>
                  <w:shd w:val="clear" w:color="auto" w:fill="auto"/>
                  <w:vAlign w:val="center"/>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vAlign w:val="center"/>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center"/>
                </w:tcPr>
                <w:p w:rsidR="009726DD" w:rsidRPr="002A2DDC" w:rsidRDefault="009726DD" w:rsidP="009726DD">
                  <w:pPr>
                    <w:rPr>
                      <w:sz w:val="18"/>
                      <w:szCs w:val="18"/>
                    </w:rPr>
                  </w:pPr>
                  <w:r>
                    <w:rPr>
                      <w:color w:val="000000"/>
                      <w:sz w:val="18"/>
                      <w:szCs w:val="18"/>
                    </w:rPr>
                    <w:t xml:space="preserve">Overleg over grofvuilrooster in de </w:t>
                  </w:r>
                  <w:proofErr w:type="spellStart"/>
                  <w:r>
                    <w:rPr>
                      <w:color w:val="000000"/>
                      <w:sz w:val="18"/>
                      <w:szCs w:val="18"/>
                    </w:rPr>
                    <w:t>pompput</w:t>
                  </w:r>
                  <w:proofErr w:type="spellEnd"/>
                  <w:r>
                    <w:rPr>
                      <w:color w:val="000000"/>
                      <w:sz w:val="18"/>
                      <w:szCs w:val="18"/>
                    </w:rPr>
                    <w:t xml:space="preserve"> aanbrengen en detaillering </w:t>
                  </w:r>
                  <w:proofErr w:type="spellStart"/>
                  <w:r>
                    <w:rPr>
                      <w:color w:val="000000"/>
                      <w:sz w:val="18"/>
                      <w:szCs w:val="18"/>
                    </w:rPr>
                    <w:t>pompput</w:t>
                  </w:r>
                  <w:proofErr w:type="spellEnd"/>
                </w:p>
              </w:tc>
              <w:tc>
                <w:tcPr>
                  <w:tcW w:w="1409" w:type="dxa"/>
                  <w:shd w:val="clear" w:color="auto" w:fill="auto"/>
                  <w:vAlign w:val="center"/>
                </w:tcPr>
                <w:p w:rsidR="009726DD" w:rsidRPr="002A2DDC" w:rsidRDefault="009726DD" w:rsidP="009726DD">
                  <w:pPr>
                    <w:overflowPunct w:val="0"/>
                    <w:autoSpaceDE w:val="0"/>
                    <w:autoSpaceDN w:val="0"/>
                    <w:adjustRightInd w:val="0"/>
                    <w:textAlignment w:val="baseline"/>
                    <w:rPr>
                      <w:sz w:val="18"/>
                      <w:szCs w:val="18"/>
                    </w:rPr>
                  </w:pPr>
                  <w:r>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Afwijkingen van pers-/drukriolering in ontwerpfase aangeven en afstemmen</w:t>
                  </w:r>
                </w:p>
              </w:tc>
              <w:tc>
                <w:tcPr>
                  <w:tcW w:w="1409"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Eisen t.a.v. de aansluiting met een z.g. staand Y-stuk met combideksel</w:t>
                  </w:r>
                </w:p>
              </w:tc>
              <w:tc>
                <w:tcPr>
                  <w:tcW w:w="1409"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Beoordelen toepassing </w:t>
                  </w:r>
                  <w:proofErr w:type="spellStart"/>
                  <w:r>
                    <w:rPr>
                      <w:color w:val="000000"/>
                      <w:sz w:val="18"/>
                      <w:szCs w:val="18"/>
                    </w:rPr>
                    <w:t>zettinghulpstuk</w:t>
                  </w:r>
                  <w:proofErr w:type="spellEnd"/>
                  <w:r>
                    <w:rPr>
                      <w:color w:val="000000"/>
                      <w:sz w:val="18"/>
                      <w:szCs w:val="18"/>
                    </w:rPr>
                    <w:t xml:space="preserve"> in standpijp in </w:t>
                  </w:r>
                  <w:proofErr w:type="spellStart"/>
                  <w:r>
                    <w:rPr>
                      <w:color w:val="000000"/>
                      <w:sz w:val="18"/>
                      <w:szCs w:val="18"/>
                    </w:rPr>
                    <w:t>zettinggevoelige</w:t>
                  </w:r>
                  <w:proofErr w:type="spellEnd"/>
                  <w:r>
                    <w:rPr>
                      <w:color w:val="000000"/>
                      <w:sz w:val="18"/>
                      <w:szCs w:val="18"/>
                    </w:rPr>
                    <w:t xml:space="preserve"> gebieden </w:t>
                  </w:r>
                </w:p>
              </w:tc>
              <w:tc>
                <w:tcPr>
                  <w:tcW w:w="1409"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Pr>
                      <w:sz w:val="18"/>
                      <w:szCs w:val="18"/>
                    </w:rPr>
                    <w:t xml:space="preserve">IBOR </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Bepalen type overstortmeter en (TSI) datalogger (druk opnemer met barometercompensatie)  </w:t>
                  </w:r>
                </w:p>
              </w:tc>
              <w:tc>
                <w:tcPr>
                  <w:tcW w:w="1409"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Overleg aanleg drainage zonder wijziging van grondwaterpeil bij vervanging overstortmeter</w:t>
                  </w:r>
                </w:p>
              </w:tc>
              <w:tc>
                <w:tcPr>
                  <w:tcW w:w="1409"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Pr>
                      <w:sz w:val="18"/>
                      <w:szCs w:val="18"/>
                    </w:rPr>
                    <w:t xml:space="preserve">IBOR </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Default="009726DD" w:rsidP="009726DD">
                  <w:pPr>
                    <w:rPr>
                      <w:color w:val="000000"/>
                      <w:sz w:val="18"/>
                      <w:szCs w:val="18"/>
                    </w:rPr>
                  </w:pPr>
                  <w:r>
                    <w:rPr>
                      <w:color w:val="000000"/>
                      <w:sz w:val="18"/>
                      <w:szCs w:val="18"/>
                    </w:rPr>
                    <w:t xml:space="preserve">Vergunning </w:t>
                  </w:r>
                  <w:proofErr w:type="spellStart"/>
                  <w:r>
                    <w:rPr>
                      <w:color w:val="000000"/>
                      <w:sz w:val="18"/>
                      <w:szCs w:val="18"/>
                    </w:rPr>
                    <w:t>Wm</w:t>
                  </w:r>
                  <w:proofErr w:type="spellEnd"/>
                  <w:r>
                    <w:rPr>
                      <w:color w:val="000000"/>
                      <w:sz w:val="18"/>
                      <w:szCs w:val="18"/>
                    </w:rPr>
                    <w:t xml:space="preserve"> (Wet milieubeheer) voor lozingen via afscheider op DWA riool </w:t>
                  </w:r>
                </w:p>
              </w:tc>
              <w:tc>
                <w:tcPr>
                  <w:tcW w:w="1409" w:type="dxa"/>
                  <w:shd w:val="clear" w:color="auto" w:fill="auto"/>
                </w:tcPr>
                <w:p w:rsidR="009726DD" w:rsidRDefault="009726DD" w:rsidP="009726DD">
                  <w:pPr>
                    <w:overflowPunct w:val="0"/>
                    <w:autoSpaceDE w:val="0"/>
                    <w:autoSpaceDN w:val="0"/>
                    <w:adjustRightInd w:val="0"/>
                    <w:textAlignment w:val="baseline"/>
                    <w:rPr>
                      <w:sz w:val="18"/>
                      <w:szCs w:val="18"/>
                    </w:rPr>
                  </w:pPr>
                  <w:r>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In overleg huis- kolkaansluiting verwijderen </w:t>
                  </w:r>
                </w:p>
              </w:tc>
              <w:tc>
                <w:tcPr>
                  <w:tcW w:w="1409"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Goedkeuring vereist afkoppelen licht verontreinigde oppervlakken, wadi of bodempassage </w:t>
                  </w:r>
                </w:p>
              </w:tc>
              <w:tc>
                <w:tcPr>
                  <w:tcW w:w="1409"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Afspraken over mate/hoeveelheid verontreiniging van vrijkomende spoeldebiet </w:t>
                  </w:r>
                </w:p>
              </w:tc>
              <w:tc>
                <w:tcPr>
                  <w:tcW w:w="1409"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Beoordelen hoeveelheid te lozen grondwater op riool</w:t>
                  </w:r>
                </w:p>
              </w:tc>
              <w:tc>
                <w:tcPr>
                  <w:tcW w:w="1409" w:type="dxa"/>
                  <w:shd w:val="clear" w:color="auto" w:fill="auto"/>
                </w:tcPr>
                <w:p w:rsidR="009726DD" w:rsidRDefault="009726DD" w:rsidP="009726DD">
                  <w:r w:rsidRPr="002C2006">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Goedkeuring van berekeningen van de toepassing van een </w:t>
                  </w:r>
                  <w:proofErr w:type="spellStart"/>
                  <w:r>
                    <w:rPr>
                      <w:color w:val="000000"/>
                      <w:sz w:val="18"/>
                      <w:szCs w:val="18"/>
                    </w:rPr>
                    <w:t>pluviasysteem</w:t>
                  </w:r>
                  <w:proofErr w:type="spellEnd"/>
                  <w:r>
                    <w:rPr>
                      <w:color w:val="000000"/>
                      <w:sz w:val="18"/>
                      <w:szCs w:val="18"/>
                    </w:rPr>
                    <w:t xml:space="preserve"> </w:t>
                  </w:r>
                </w:p>
              </w:tc>
              <w:tc>
                <w:tcPr>
                  <w:tcW w:w="1409" w:type="dxa"/>
                  <w:shd w:val="clear" w:color="auto" w:fill="auto"/>
                </w:tcPr>
                <w:p w:rsidR="009726DD" w:rsidRDefault="009726DD" w:rsidP="009726DD">
                  <w:r w:rsidRPr="002C2006">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Beoordelen van reparatie uitvoeringen van het riool in </w:t>
                  </w:r>
                  <w:proofErr w:type="spellStart"/>
                  <w:r>
                    <w:rPr>
                      <w:color w:val="000000"/>
                      <w:sz w:val="18"/>
                      <w:szCs w:val="18"/>
                    </w:rPr>
                    <w:t>zettinggevoelige</w:t>
                  </w:r>
                  <w:proofErr w:type="spellEnd"/>
                  <w:r>
                    <w:rPr>
                      <w:color w:val="000000"/>
                      <w:sz w:val="18"/>
                      <w:szCs w:val="18"/>
                    </w:rPr>
                    <w:t xml:space="preserve"> gebieden</w:t>
                  </w:r>
                </w:p>
              </w:tc>
              <w:tc>
                <w:tcPr>
                  <w:tcW w:w="1409" w:type="dxa"/>
                  <w:shd w:val="clear" w:color="auto" w:fill="auto"/>
                </w:tcPr>
                <w:p w:rsidR="009726DD" w:rsidRDefault="009726DD" w:rsidP="009726DD">
                  <w:r w:rsidRPr="002C2006">
                    <w:rPr>
                      <w:sz w:val="18"/>
                      <w:szCs w:val="18"/>
                    </w:rPr>
                    <w:t xml:space="preserve">IBOR </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Beoordelen van toepassen afsluiters in persleiding</w:t>
                  </w:r>
                </w:p>
              </w:tc>
              <w:tc>
                <w:tcPr>
                  <w:tcW w:w="1409" w:type="dxa"/>
                  <w:shd w:val="clear" w:color="auto" w:fill="auto"/>
                </w:tcPr>
                <w:p w:rsidR="009726DD" w:rsidRDefault="009726DD" w:rsidP="009726DD">
                  <w:r w:rsidRPr="002C2006">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Overleg over het bepalen van de injectiepunten per traject </w:t>
                  </w:r>
                </w:p>
              </w:tc>
              <w:tc>
                <w:tcPr>
                  <w:tcW w:w="1409" w:type="dxa"/>
                  <w:shd w:val="clear" w:color="auto" w:fill="auto"/>
                </w:tcPr>
                <w:p w:rsidR="009726DD" w:rsidRDefault="009726DD" w:rsidP="009726DD">
                  <w:r w:rsidRPr="002C2006">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Overleg over montage debietmeter en drukmeter en aansluiting op telemetriesysteem</w:t>
                  </w:r>
                </w:p>
              </w:tc>
              <w:tc>
                <w:tcPr>
                  <w:tcW w:w="1409" w:type="dxa"/>
                  <w:shd w:val="clear" w:color="auto" w:fill="auto"/>
                </w:tcPr>
                <w:p w:rsidR="009726DD" w:rsidRDefault="009726DD" w:rsidP="009726DD">
                  <w:r w:rsidRPr="002C2006">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Voorschrijven kunststof </w:t>
                  </w:r>
                  <w:proofErr w:type="spellStart"/>
                  <w:r>
                    <w:rPr>
                      <w:color w:val="000000"/>
                      <w:sz w:val="18"/>
                      <w:szCs w:val="18"/>
                    </w:rPr>
                    <w:t>pompput</w:t>
                  </w:r>
                  <w:proofErr w:type="spellEnd"/>
                </w:p>
              </w:tc>
              <w:tc>
                <w:tcPr>
                  <w:tcW w:w="1409" w:type="dxa"/>
                  <w:shd w:val="clear" w:color="auto" w:fill="auto"/>
                </w:tcPr>
                <w:p w:rsidR="009726DD" w:rsidRDefault="009726DD" w:rsidP="009726DD">
                  <w:r w:rsidRPr="002C2006">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Aangeven van de eisen voor het gemaal </w:t>
                  </w:r>
                </w:p>
              </w:tc>
              <w:tc>
                <w:tcPr>
                  <w:tcW w:w="1409" w:type="dxa"/>
                  <w:shd w:val="clear" w:color="auto" w:fill="auto"/>
                </w:tcPr>
                <w:p w:rsidR="009726DD" w:rsidRDefault="009726DD" w:rsidP="009726DD">
                  <w:r w:rsidRPr="002C2006">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In overleg het type pompinstallatie bepalen  </w:t>
                  </w:r>
                </w:p>
              </w:tc>
              <w:tc>
                <w:tcPr>
                  <w:tcW w:w="1409" w:type="dxa"/>
                  <w:shd w:val="clear" w:color="auto" w:fill="auto"/>
                </w:tcPr>
                <w:p w:rsidR="009726DD" w:rsidRDefault="009726DD" w:rsidP="009726DD">
                  <w:r w:rsidRPr="002C2006">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Beoordelen van de tekeningen van het anti luchtschot</w:t>
                  </w:r>
                </w:p>
              </w:tc>
              <w:tc>
                <w:tcPr>
                  <w:tcW w:w="1409" w:type="dxa"/>
                  <w:shd w:val="clear" w:color="auto" w:fill="auto"/>
                </w:tcPr>
                <w:p w:rsidR="009726DD" w:rsidRDefault="009726DD" w:rsidP="009726DD">
                  <w:r w:rsidRPr="002C2006">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Op aanwijzing de stankoverlast bestrijden </w:t>
                  </w:r>
                </w:p>
              </w:tc>
              <w:tc>
                <w:tcPr>
                  <w:tcW w:w="1409" w:type="dxa"/>
                  <w:shd w:val="clear" w:color="auto" w:fill="auto"/>
                </w:tcPr>
                <w:p w:rsidR="009726DD" w:rsidRDefault="009726DD" w:rsidP="009726DD">
                  <w:r w:rsidRPr="002C2006">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Afdekking </w:t>
                  </w:r>
                  <w:proofErr w:type="spellStart"/>
                  <w:r>
                    <w:rPr>
                      <w:color w:val="000000"/>
                      <w:sz w:val="18"/>
                      <w:szCs w:val="18"/>
                    </w:rPr>
                    <w:t>pompput</w:t>
                  </w:r>
                  <w:proofErr w:type="spellEnd"/>
                  <w:r>
                    <w:rPr>
                      <w:color w:val="000000"/>
                      <w:sz w:val="18"/>
                      <w:szCs w:val="18"/>
                    </w:rPr>
                    <w:t xml:space="preserve"> bepalen </w:t>
                  </w:r>
                </w:p>
              </w:tc>
              <w:tc>
                <w:tcPr>
                  <w:tcW w:w="1409" w:type="dxa"/>
                  <w:shd w:val="clear" w:color="auto" w:fill="auto"/>
                </w:tcPr>
                <w:p w:rsidR="009726DD" w:rsidRDefault="009726DD" w:rsidP="009726DD">
                  <w:r w:rsidRPr="002C2006">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Overleg over het eventueel plaatsen van een drukmeter in het gemaal</w:t>
                  </w:r>
                </w:p>
              </w:tc>
              <w:tc>
                <w:tcPr>
                  <w:tcW w:w="1409" w:type="dxa"/>
                  <w:shd w:val="clear" w:color="auto" w:fill="auto"/>
                </w:tcPr>
                <w:p w:rsidR="009726DD" w:rsidRDefault="009726DD" w:rsidP="009726DD">
                  <w:r w:rsidRPr="002C2006">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In overleg de pomp </w:t>
                  </w:r>
                  <w:proofErr w:type="spellStart"/>
                  <w:r>
                    <w:rPr>
                      <w:color w:val="000000"/>
                      <w:sz w:val="18"/>
                      <w:szCs w:val="18"/>
                    </w:rPr>
                    <w:t>optoeren</w:t>
                  </w:r>
                  <w:proofErr w:type="spellEnd"/>
                  <w:r>
                    <w:rPr>
                      <w:color w:val="000000"/>
                      <w:sz w:val="18"/>
                      <w:szCs w:val="18"/>
                    </w:rPr>
                    <w:t xml:space="preserve"> </w:t>
                  </w:r>
                </w:p>
              </w:tc>
              <w:tc>
                <w:tcPr>
                  <w:tcW w:w="1409"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Pr>
                      <w:sz w:val="18"/>
                      <w:szCs w:val="18"/>
                    </w:rPr>
                    <w:t>beheerder</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Beoordelen om schakelaar te plaatsen in </w:t>
                  </w:r>
                  <w:proofErr w:type="spellStart"/>
                  <w:r>
                    <w:rPr>
                      <w:color w:val="000000"/>
                      <w:sz w:val="18"/>
                      <w:szCs w:val="18"/>
                    </w:rPr>
                    <w:t>pompput</w:t>
                  </w:r>
                  <w:proofErr w:type="spellEnd"/>
                </w:p>
              </w:tc>
              <w:tc>
                <w:tcPr>
                  <w:tcW w:w="1409"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Pr>
                      <w:sz w:val="18"/>
                      <w:szCs w:val="18"/>
                    </w:rPr>
                    <w:t>IBOR</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Pr>
                      <w:sz w:val="18"/>
                      <w:szCs w:val="18"/>
                    </w:rPr>
                    <w:t>Nuts en OV</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Overleg over afwijking leidingprofiel </w:t>
                  </w:r>
                </w:p>
              </w:tc>
              <w:tc>
                <w:tcPr>
                  <w:tcW w:w="1409"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Pr>
                      <w:sz w:val="18"/>
                      <w:szCs w:val="18"/>
                    </w:rPr>
                    <w:t>IBOR BB</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Plaats brandkranen toetsen</w:t>
                  </w:r>
                </w:p>
              </w:tc>
              <w:tc>
                <w:tcPr>
                  <w:tcW w:w="1409"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Pr>
                      <w:sz w:val="18"/>
                      <w:szCs w:val="18"/>
                    </w:rPr>
                    <w:t>Brandweer</w:t>
                  </w:r>
                </w:p>
              </w:tc>
            </w:tr>
            <w:tr w:rsidR="009726DD" w:rsidRPr="003416BA" w:rsidTr="0046301E">
              <w:tc>
                <w:tcPr>
                  <w:tcW w:w="1167" w:type="dxa"/>
                  <w:shd w:val="clear" w:color="auto" w:fill="auto"/>
                </w:tcPr>
                <w:p w:rsidR="009726DD" w:rsidRDefault="009726DD" w:rsidP="009726DD">
                  <w:pPr>
                    <w:overflowPunct w:val="0"/>
                    <w:autoSpaceDE w:val="0"/>
                    <w:autoSpaceDN w:val="0"/>
                    <w:adjustRightInd w:val="0"/>
                    <w:textAlignment w:val="baseline"/>
                    <w:rPr>
                      <w:sz w:val="18"/>
                      <w:szCs w:val="18"/>
                    </w:rPr>
                  </w:pPr>
                  <w:r>
                    <w:rPr>
                      <w:sz w:val="18"/>
                      <w:szCs w:val="18"/>
                    </w:rPr>
                    <w:t>Verharding</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Default="009726DD" w:rsidP="009726DD">
                  <w:pPr>
                    <w:rPr>
                      <w:color w:val="000000"/>
                      <w:sz w:val="18"/>
                      <w:szCs w:val="18"/>
                    </w:rPr>
                  </w:pPr>
                  <w:r>
                    <w:rPr>
                      <w:color w:val="000000"/>
                      <w:sz w:val="18"/>
                      <w:szCs w:val="18"/>
                    </w:rPr>
                    <w:t xml:space="preserve">Goedkeuring berekeningen dikte </w:t>
                  </w:r>
                  <w:proofErr w:type="spellStart"/>
                  <w:r>
                    <w:rPr>
                      <w:color w:val="000000"/>
                      <w:sz w:val="18"/>
                      <w:szCs w:val="18"/>
                    </w:rPr>
                    <w:t>zandcunet</w:t>
                  </w:r>
                  <w:proofErr w:type="spellEnd"/>
                  <w:r>
                    <w:rPr>
                      <w:color w:val="000000"/>
                      <w:sz w:val="18"/>
                      <w:szCs w:val="18"/>
                    </w:rPr>
                    <w:t xml:space="preserve"> bij wegen  </w:t>
                  </w:r>
                </w:p>
              </w:tc>
              <w:tc>
                <w:tcPr>
                  <w:tcW w:w="1409" w:type="dxa"/>
                  <w:shd w:val="clear" w:color="auto" w:fill="auto"/>
                </w:tcPr>
                <w:p w:rsidR="009726DD" w:rsidRPr="002C2006" w:rsidRDefault="009726DD" w:rsidP="009726DD">
                  <w:pPr>
                    <w:overflowPunct w:val="0"/>
                    <w:autoSpaceDE w:val="0"/>
                    <w:autoSpaceDN w:val="0"/>
                    <w:adjustRightInd w:val="0"/>
                    <w:textAlignment w:val="baseline"/>
                    <w:rPr>
                      <w:sz w:val="18"/>
                      <w:szCs w:val="18"/>
                    </w:rPr>
                  </w:pPr>
                  <w:r>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roofErr w:type="spellStart"/>
                  <w:r>
                    <w:rPr>
                      <w:sz w:val="18"/>
                      <w:szCs w:val="18"/>
                    </w:rPr>
                    <w:t>Waterhuish</w:t>
                  </w:r>
                  <w:proofErr w:type="spellEnd"/>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 xml:space="preserve">Overleg over brug deel uitmakende van een bijzondere transportroute </w:t>
                  </w:r>
                </w:p>
              </w:tc>
              <w:tc>
                <w:tcPr>
                  <w:tcW w:w="1409"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sidRPr="002C2006">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Goedkeuren van voorzieningen tegen kwel bij paalfundering van bruggen</w:t>
                  </w:r>
                </w:p>
              </w:tc>
              <w:tc>
                <w:tcPr>
                  <w:tcW w:w="1409"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sidRPr="002C2006">
                    <w:rPr>
                      <w:sz w:val="18"/>
                      <w:szCs w:val="18"/>
                    </w:rPr>
                    <w:t>IBOR grijs</w:t>
                  </w:r>
                </w:p>
              </w:tc>
            </w:tr>
            <w:tr w:rsidR="009726DD" w:rsidRPr="003416BA" w:rsidTr="0046301E">
              <w:tc>
                <w:tcPr>
                  <w:tcW w:w="1167" w:type="dxa"/>
                  <w:shd w:val="clear" w:color="auto" w:fill="auto"/>
                </w:tcPr>
                <w:p w:rsidR="009726DD" w:rsidRPr="002A2DDC" w:rsidRDefault="009726DD" w:rsidP="009726DD">
                  <w:pPr>
                    <w:overflowPunct w:val="0"/>
                    <w:autoSpaceDE w:val="0"/>
                    <w:autoSpaceDN w:val="0"/>
                    <w:adjustRightInd w:val="0"/>
                    <w:textAlignment w:val="baseline"/>
                    <w:rPr>
                      <w:sz w:val="18"/>
                      <w:szCs w:val="18"/>
                    </w:rPr>
                  </w:pP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rPr>
                      <w:sz w:val="18"/>
                      <w:szCs w:val="18"/>
                    </w:rPr>
                  </w:pPr>
                  <w:r>
                    <w:rPr>
                      <w:color w:val="000000"/>
                      <w:sz w:val="18"/>
                      <w:szCs w:val="18"/>
                    </w:rPr>
                    <w:t>Aanwijzingen geven voor het aanbrengen van remmingwerk bij brugpijlers</w:t>
                  </w:r>
                </w:p>
              </w:tc>
              <w:tc>
                <w:tcPr>
                  <w:tcW w:w="1409"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sidRPr="002C2006">
                    <w:rPr>
                      <w:sz w:val="18"/>
                      <w:szCs w:val="18"/>
                    </w:rPr>
                    <w:t>IBOR grijs</w:t>
                  </w:r>
                </w:p>
              </w:tc>
            </w:tr>
            <w:tr w:rsidR="009726DD" w:rsidRPr="003416BA" w:rsidTr="0046301E">
              <w:tc>
                <w:tcPr>
                  <w:tcW w:w="1167" w:type="dxa"/>
                  <w:shd w:val="clear" w:color="auto" w:fill="auto"/>
                </w:tcPr>
                <w:p w:rsidR="009726DD" w:rsidRDefault="009726DD" w:rsidP="009726DD">
                  <w:pPr>
                    <w:rPr>
                      <w:color w:val="000000"/>
                      <w:sz w:val="18"/>
                      <w:szCs w:val="18"/>
                    </w:rPr>
                  </w:pPr>
                  <w:proofErr w:type="spellStart"/>
                  <w:r>
                    <w:rPr>
                      <w:color w:val="000000"/>
                      <w:sz w:val="18"/>
                      <w:szCs w:val="18"/>
                    </w:rPr>
                    <w:lastRenderedPageBreak/>
                    <w:t>Groentechn</w:t>
                  </w:r>
                  <w:proofErr w:type="spellEnd"/>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tcPr>
                <w:p w:rsidR="009726DD" w:rsidRPr="002A2DDC" w:rsidRDefault="009726DD" w:rsidP="009726DD">
                  <w:pPr>
                    <w:overflowPunct w:val="0"/>
                    <w:autoSpaceDE w:val="0"/>
                    <w:autoSpaceDN w:val="0"/>
                    <w:adjustRightInd w:val="0"/>
                    <w:textAlignment w:val="baseline"/>
                    <w:rPr>
                      <w:sz w:val="18"/>
                      <w:szCs w:val="18"/>
                    </w:rPr>
                  </w:pPr>
                  <w:r>
                    <w:rPr>
                      <w:color w:val="000000"/>
                      <w:sz w:val="18"/>
                      <w:szCs w:val="18"/>
                    </w:rPr>
                    <w:t>Keuring plantmateriaal</w:t>
                  </w:r>
                </w:p>
              </w:tc>
              <w:tc>
                <w:tcPr>
                  <w:tcW w:w="1409" w:type="dxa"/>
                  <w:shd w:val="clear" w:color="auto" w:fill="auto"/>
                  <w:vAlign w:val="bottom"/>
                </w:tcPr>
                <w:p w:rsidR="009726DD" w:rsidRDefault="009726DD" w:rsidP="009726DD">
                  <w:pPr>
                    <w:rPr>
                      <w:color w:val="000000"/>
                      <w:sz w:val="18"/>
                      <w:szCs w:val="18"/>
                    </w:rPr>
                  </w:pPr>
                  <w:r>
                    <w:rPr>
                      <w:color w:val="000000"/>
                      <w:sz w:val="18"/>
                      <w:szCs w:val="18"/>
                    </w:rPr>
                    <w:t xml:space="preserve">IBOR </w:t>
                  </w:r>
                  <w:proofErr w:type="spellStart"/>
                  <w:r>
                    <w:rPr>
                      <w:color w:val="000000"/>
                      <w:sz w:val="18"/>
                      <w:szCs w:val="18"/>
                    </w:rPr>
                    <w:t>groenbeh</w:t>
                  </w:r>
                  <w:proofErr w:type="spellEnd"/>
                </w:p>
              </w:tc>
            </w:tr>
            <w:tr w:rsidR="009726DD" w:rsidRPr="003416BA" w:rsidTr="0046301E">
              <w:tc>
                <w:tcPr>
                  <w:tcW w:w="1167" w:type="dxa"/>
                  <w:shd w:val="clear" w:color="auto" w:fill="auto"/>
                </w:tcPr>
                <w:p w:rsidR="009726DD" w:rsidRDefault="009726DD" w:rsidP="009726DD">
                  <w:pPr>
                    <w:rPr>
                      <w:color w:val="000000"/>
                      <w:sz w:val="18"/>
                      <w:szCs w:val="18"/>
                    </w:rPr>
                  </w:pPr>
                  <w:r>
                    <w:rPr>
                      <w:color w:val="000000"/>
                      <w:sz w:val="18"/>
                      <w:szCs w:val="18"/>
                    </w:rPr>
                    <w:t> </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Overleg over het ondergronds verankeren van grote bomen</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 groen</w:t>
                  </w:r>
                </w:p>
              </w:tc>
            </w:tr>
            <w:tr w:rsidR="009726DD" w:rsidRPr="003416BA" w:rsidTr="0046301E">
              <w:tc>
                <w:tcPr>
                  <w:tcW w:w="1167" w:type="dxa"/>
                  <w:shd w:val="clear" w:color="auto" w:fill="auto"/>
                </w:tcPr>
                <w:p w:rsidR="009726DD" w:rsidRDefault="009726DD" w:rsidP="009726DD">
                  <w:pPr>
                    <w:rPr>
                      <w:color w:val="000000"/>
                      <w:sz w:val="18"/>
                      <w:szCs w:val="18"/>
                    </w:rPr>
                  </w:pPr>
                  <w:r>
                    <w:rPr>
                      <w:color w:val="000000"/>
                      <w:sz w:val="18"/>
                      <w:szCs w:val="18"/>
                    </w:rPr>
                    <w:t> </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Overleg over voorzieningen tegen maaischade</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 groen</w:t>
                  </w:r>
                </w:p>
              </w:tc>
            </w:tr>
            <w:tr w:rsidR="009726DD" w:rsidRPr="003416BA" w:rsidTr="0046301E">
              <w:tc>
                <w:tcPr>
                  <w:tcW w:w="1167" w:type="dxa"/>
                  <w:shd w:val="clear" w:color="auto" w:fill="auto"/>
                </w:tcPr>
                <w:p w:rsidR="009726DD" w:rsidRDefault="009726DD" w:rsidP="009726DD">
                  <w:pPr>
                    <w:rPr>
                      <w:color w:val="000000"/>
                      <w:sz w:val="18"/>
                      <w:szCs w:val="18"/>
                    </w:rPr>
                  </w:pPr>
                  <w:r>
                    <w:rPr>
                      <w:color w:val="000000"/>
                      <w:sz w:val="18"/>
                      <w:szCs w:val="18"/>
                    </w:rPr>
                    <w:t> </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Uitzondering op normale planttijd goedkeuren</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 groen</w:t>
                  </w:r>
                </w:p>
              </w:tc>
            </w:tr>
            <w:tr w:rsidR="009726DD" w:rsidRPr="003416BA" w:rsidTr="0046301E">
              <w:tc>
                <w:tcPr>
                  <w:tcW w:w="1167" w:type="dxa"/>
                  <w:shd w:val="clear" w:color="auto" w:fill="auto"/>
                  <w:vAlign w:val="bottom"/>
                </w:tcPr>
                <w:p w:rsidR="009726DD" w:rsidRDefault="009726DD" w:rsidP="009726DD">
                  <w:pPr>
                    <w:rPr>
                      <w:color w:val="000000"/>
                      <w:sz w:val="18"/>
                      <w:szCs w:val="18"/>
                    </w:rPr>
                  </w:pPr>
                  <w:r>
                    <w:rPr>
                      <w:color w:val="000000"/>
                      <w:sz w:val="18"/>
                      <w:szCs w:val="18"/>
                    </w:rPr>
                    <w:t xml:space="preserve">Div </w:t>
                  </w:r>
                  <w:proofErr w:type="spellStart"/>
                  <w:r>
                    <w:rPr>
                      <w:color w:val="000000"/>
                      <w:sz w:val="18"/>
                      <w:szCs w:val="18"/>
                    </w:rPr>
                    <w:t>voorz</w:t>
                  </w:r>
                  <w:proofErr w:type="spellEnd"/>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 xml:space="preserve">Door gem Westland aan te leveren chip </w:t>
                  </w:r>
                  <w:proofErr w:type="spellStart"/>
                  <w:r>
                    <w:rPr>
                      <w:color w:val="000000"/>
                      <w:sz w:val="18"/>
                      <w:szCs w:val="18"/>
                    </w:rPr>
                    <w:t>tbv</w:t>
                  </w:r>
                  <w:proofErr w:type="spellEnd"/>
                  <w:r>
                    <w:rPr>
                      <w:color w:val="000000"/>
                      <w:sz w:val="18"/>
                      <w:szCs w:val="18"/>
                    </w:rPr>
                    <w:t xml:space="preserve"> speeltoestelgegevens</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 BB</w:t>
                  </w:r>
                </w:p>
              </w:tc>
            </w:tr>
            <w:tr w:rsidR="009726DD" w:rsidRPr="003416BA" w:rsidTr="0046301E">
              <w:tc>
                <w:tcPr>
                  <w:tcW w:w="1167" w:type="dxa"/>
                  <w:shd w:val="clear" w:color="auto" w:fill="auto"/>
                  <w:vAlign w:val="bottom"/>
                </w:tcPr>
                <w:p w:rsidR="009726DD" w:rsidRDefault="009726DD" w:rsidP="009726DD">
                  <w:pPr>
                    <w:rPr>
                      <w:color w:val="000000"/>
                      <w:sz w:val="18"/>
                      <w:szCs w:val="18"/>
                    </w:rPr>
                  </w:pPr>
                  <w:r>
                    <w:rPr>
                      <w:color w:val="000000"/>
                      <w:sz w:val="18"/>
                      <w:szCs w:val="18"/>
                    </w:rPr>
                    <w:t> </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 xml:space="preserve">Overleg over aanbrengen van faunavoorzieningen </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 groen</w:t>
                  </w:r>
                </w:p>
              </w:tc>
            </w:tr>
            <w:tr w:rsidR="009726DD" w:rsidRPr="003416BA" w:rsidTr="0046301E">
              <w:tc>
                <w:tcPr>
                  <w:tcW w:w="1167" w:type="dxa"/>
                  <w:shd w:val="clear" w:color="auto" w:fill="auto"/>
                  <w:vAlign w:val="bottom"/>
                </w:tcPr>
                <w:p w:rsidR="009726DD" w:rsidRDefault="009726DD" w:rsidP="009726DD">
                  <w:pPr>
                    <w:rPr>
                      <w:color w:val="000000"/>
                      <w:sz w:val="18"/>
                      <w:szCs w:val="18"/>
                    </w:rPr>
                  </w:pPr>
                  <w:r>
                    <w:rPr>
                      <w:color w:val="000000"/>
                      <w:sz w:val="18"/>
                      <w:szCs w:val="18"/>
                    </w:rPr>
                    <w:t> </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Afwijkend straatmeubilair bij woon servicezones bespreken</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w:t>
                  </w:r>
                </w:p>
              </w:tc>
            </w:tr>
            <w:tr w:rsidR="009726DD" w:rsidRPr="003416BA" w:rsidTr="0046301E">
              <w:tc>
                <w:tcPr>
                  <w:tcW w:w="1167" w:type="dxa"/>
                  <w:shd w:val="clear" w:color="auto" w:fill="auto"/>
                  <w:vAlign w:val="bottom"/>
                </w:tcPr>
                <w:p w:rsidR="009726DD" w:rsidRDefault="009726DD" w:rsidP="009726DD">
                  <w:pPr>
                    <w:rPr>
                      <w:color w:val="000000"/>
                      <w:sz w:val="18"/>
                      <w:szCs w:val="18"/>
                    </w:rPr>
                  </w:pPr>
                  <w:r>
                    <w:rPr>
                      <w:color w:val="000000"/>
                      <w:sz w:val="18"/>
                      <w:szCs w:val="18"/>
                    </w:rPr>
                    <w:t> </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Afwijkend typen palen in verharding goedkeuren</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 grijs</w:t>
                  </w:r>
                </w:p>
              </w:tc>
            </w:tr>
            <w:tr w:rsidR="009726DD" w:rsidRPr="003416BA" w:rsidTr="0046301E">
              <w:tc>
                <w:tcPr>
                  <w:tcW w:w="1167" w:type="dxa"/>
                  <w:shd w:val="clear" w:color="auto" w:fill="auto"/>
                  <w:vAlign w:val="bottom"/>
                </w:tcPr>
                <w:p w:rsidR="009726DD" w:rsidRDefault="009726DD" w:rsidP="009726DD">
                  <w:pPr>
                    <w:rPr>
                      <w:color w:val="000000"/>
                      <w:sz w:val="18"/>
                      <w:szCs w:val="18"/>
                    </w:rPr>
                  </w:pPr>
                  <w:r>
                    <w:rPr>
                      <w:color w:val="000000"/>
                      <w:sz w:val="18"/>
                      <w:szCs w:val="18"/>
                    </w:rPr>
                    <w:t> </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Afwijkend type banken goedkeuren</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w:t>
                  </w:r>
                </w:p>
              </w:tc>
            </w:tr>
            <w:tr w:rsidR="009726DD" w:rsidRPr="003416BA" w:rsidTr="0046301E">
              <w:tc>
                <w:tcPr>
                  <w:tcW w:w="1167" w:type="dxa"/>
                  <w:shd w:val="clear" w:color="auto" w:fill="auto"/>
                  <w:vAlign w:val="bottom"/>
                </w:tcPr>
                <w:p w:rsidR="009726DD" w:rsidRDefault="009726DD" w:rsidP="009726DD">
                  <w:pPr>
                    <w:rPr>
                      <w:color w:val="000000"/>
                      <w:sz w:val="18"/>
                      <w:szCs w:val="18"/>
                    </w:rPr>
                  </w:pPr>
                  <w:proofErr w:type="spellStart"/>
                  <w:r>
                    <w:rPr>
                      <w:color w:val="000000"/>
                      <w:sz w:val="18"/>
                      <w:szCs w:val="18"/>
                    </w:rPr>
                    <w:t>Huish</w:t>
                  </w:r>
                  <w:proofErr w:type="spellEnd"/>
                  <w:r>
                    <w:rPr>
                      <w:color w:val="000000"/>
                      <w:sz w:val="18"/>
                      <w:szCs w:val="18"/>
                    </w:rPr>
                    <w:t xml:space="preserve"> afval</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 xml:space="preserve">Overleg over afwijkend volume huishoudelijk afval voor verzamelcontainers hoogbouw </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 rein</w:t>
                  </w:r>
                </w:p>
              </w:tc>
            </w:tr>
            <w:tr w:rsidR="009726DD" w:rsidRPr="003416BA" w:rsidTr="0046301E">
              <w:tc>
                <w:tcPr>
                  <w:tcW w:w="1167" w:type="dxa"/>
                  <w:shd w:val="clear" w:color="auto" w:fill="auto"/>
                  <w:vAlign w:val="bottom"/>
                </w:tcPr>
                <w:p w:rsidR="009726DD" w:rsidRDefault="009726DD" w:rsidP="009726DD">
                  <w:pPr>
                    <w:rPr>
                      <w:color w:val="000000"/>
                      <w:sz w:val="18"/>
                      <w:szCs w:val="18"/>
                    </w:rPr>
                  </w:pPr>
                  <w:r>
                    <w:rPr>
                      <w:color w:val="000000"/>
                      <w:sz w:val="18"/>
                      <w:szCs w:val="18"/>
                    </w:rPr>
                    <w:t> </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Overleg over toepassing van ondergrondse container(s) in een zeer uitzonderlijke geval</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 rein</w:t>
                  </w:r>
                </w:p>
              </w:tc>
            </w:tr>
            <w:tr w:rsidR="009726DD" w:rsidRPr="003416BA" w:rsidTr="0046301E">
              <w:tc>
                <w:tcPr>
                  <w:tcW w:w="1167" w:type="dxa"/>
                  <w:shd w:val="clear" w:color="auto" w:fill="auto"/>
                  <w:vAlign w:val="bottom"/>
                </w:tcPr>
                <w:p w:rsidR="009726DD" w:rsidRDefault="009726DD" w:rsidP="009726DD">
                  <w:pPr>
                    <w:rPr>
                      <w:color w:val="000000"/>
                      <w:sz w:val="18"/>
                      <w:szCs w:val="18"/>
                    </w:rPr>
                  </w:pPr>
                  <w:r>
                    <w:rPr>
                      <w:color w:val="000000"/>
                      <w:sz w:val="18"/>
                      <w:szCs w:val="18"/>
                    </w:rPr>
                    <w:t> </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 xml:space="preserve">Vaststellen van het aantal huishoudens per ondergrondse container  </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 rein</w:t>
                  </w:r>
                </w:p>
              </w:tc>
            </w:tr>
            <w:tr w:rsidR="009726DD" w:rsidRPr="003416BA" w:rsidTr="0046301E">
              <w:tc>
                <w:tcPr>
                  <w:tcW w:w="1167" w:type="dxa"/>
                  <w:shd w:val="clear" w:color="auto" w:fill="auto"/>
                  <w:vAlign w:val="bottom"/>
                </w:tcPr>
                <w:p w:rsidR="009726DD" w:rsidRDefault="009726DD" w:rsidP="009726DD">
                  <w:pPr>
                    <w:rPr>
                      <w:color w:val="000000"/>
                      <w:sz w:val="18"/>
                      <w:szCs w:val="18"/>
                    </w:rPr>
                  </w:pPr>
                  <w:r>
                    <w:rPr>
                      <w:color w:val="000000"/>
                      <w:sz w:val="18"/>
                      <w:szCs w:val="18"/>
                    </w:rPr>
                    <w:t> </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Voorschrijven van merk, model, type, uitvoering en locatie ondergrondse container(s)</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 rein</w:t>
                  </w:r>
                </w:p>
              </w:tc>
            </w:tr>
            <w:tr w:rsidR="009726DD" w:rsidRPr="003416BA" w:rsidTr="0046301E">
              <w:tc>
                <w:tcPr>
                  <w:tcW w:w="1167" w:type="dxa"/>
                  <w:shd w:val="clear" w:color="auto" w:fill="auto"/>
                  <w:vAlign w:val="bottom"/>
                </w:tcPr>
                <w:p w:rsidR="009726DD" w:rsidRDefault="009726DD" w:rsidP="009726DD">
                  <w:pPr>
                    <w:rPr>
                      <w:color w:val="000000"/>
                      <w:sz w:val="18"/>
                      <w:szCs w:val="18"/>
                    </w:rPr>
                  </w:pPr>
                  <w:r>
                    <w:rPr>
                      <w:color w:val="000000"/>
                      <w:sz w:val="18"/>
                      <w:szCs w:val="18"/>
                    </w:rPr>
                    <w:t> </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 xml:space="preserve">Aanleveren van </w:t>
                  </w:r>
                  <w:proofErr w:type="spellStart"/>
                  <w:r>
                    <w:rPr>
                      <w:color w:val="000000"/>
                      <w:sz w:val="18"/>
                      <w:szCs w:val="18"/>
                    </w:rPr>
                    <w:t>cylinders</w:t>
                  </w:r>
                  <w:proofErr w:type="spellEnd"/>
                  <w:r>
                    <w:rPr>
                      <w:color w:val="000000"/>
                      <w:sz w:val="18"/>
                      <w:szCs w:val="18"/>
                    </w:rPr>
                    <w:t xml:space="preserve"> voor afsluiting van onder- en/of bovengrondse inzamelvoorzieningen </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 rein</w:t>
                  </w:r>
                </w:p>
              </w:tc>
            </w:tr>
            <w:tr w:rsidR="009726DD" w:rsidRPr="003416BA" w:rsidTr="0046301E">
              <w:tc>
                <w:tcPr>
                  <w:tcW w:w="1167" w:type="dxa"/>
                  <w:shd w:val="clear" w:color="auto" w:fill="auto"/>
                  <w:vAlign w:val="bottom"/>
                </w:tcPr>
                <w:p w:rsidR="009726DD" w:rsidRDefault="009726DD" w:rsidP="009726DD">
                  <w:pPr>
                    <w:rPr>
                      <w:color w:val="000000"/>
                      <w:sz w:val="18"/>
                      <w:szCs w:val="18"/>
                    </w:rPr>
                  </w:pPr>
                  <w:r>
                    <w:rPr>
                      <w:color w:val="000000"/>
                      <w:sz w:val="18"/>
                      <w:szCs w:val="18"/>
                    </w:rPr>
                    <w:t> </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 xml:space="preserve">Voorschrijven van aantal, merk, model, type en uitvoering containers van een milieu-eiland </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 rein</w:t>
                  </w:r>
                </w:p>
              </w:tc>
            </w:tr>
            <w:tr w:rsidR="009726DD" w:rsidRPr="003416BA" w:rsidTr="0046301E">
              <w:tc>
                <w:tcPr>
                  <w:tcW w:w="1167" w:type="dxa"/>
                  <w:shd w:val="clear" w:color="auto" w:fill="auto"/>
                  <w:vAlign w:val="bottom"/>
                </w:tcPr>
                <w:p w:rsidR="009726DD" w:rsidRDefault="009726DD" w:rsidP="009726DD">
                  <w:pPr>
                    <w:rPr>
                      <w:color w:val="000000"/>
                      <w:sz w:val="18"/>
                      <w:szCs w:val="18"/>
                    </w:rPr>
                  </w:pPr>
                  <w:r>
                    <w:rPr>
                      <w:color w:val="000000"/>
                      <w:sz w:val="18"/>
                      <w:szCs w:val="18"/>
                    </w:rPr>
                    <w:t> </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Overleg over de locatiekeuze en afstemming van de financiering van milieu-eilanden</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 rein</w:t>
                  </w:r>
                </w:p>
              </w:tc>
            </w:tr>
            <w:tr w:rsidR="009726DD" w:rsidRPr="003416BA" w:rsidTr="0046301E">
              <w:tc>
                <w:tcPr>
                  <w:tcW w:w="1167" w:type="dxa"/>
                  <w:shd w:val="clear" w:color="auto" w:fill="auto"/>
                  <w:vAlign w:val="bottom"/>
                </w:tcPr>
                <w:p w:rsidR="009726DD" w:rsidRDefault="009726DD" w:rsidP="009726DD">
                  <w:pPr>
                    <w:rPr>
                      <w:color w:val="000000"/>
                      <w:sz w:val="18"/>
                      <w:szCs w:val="18"/>
                    </w:rPr>
                  </w:pPr>
                  <w:r>
                    <w:rPr>
                      <w:color w:val="000000"/>
                      <w:sz w:val="18"/>
                      <w:szCs w:val="18"/>
                    </w:rPr>
                    <w:t>Overdracht</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Eenheden voor de overdracht bepalen</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w:t>
                  </w:r>
                </w:p>
              </w:tc>
            </w:tr>
            <w:tr w:rsidR="009726DD" w:rsidRPr="003416BA" w:rsidTr="0046301E">
              <w:tc>
                <w:tcPr>
                  <w:tcW w:w="1167" w:type="dxa"/>
                  <w:shd w:val="clear" w:color="auto" w:fill="auto"/>
                  <w:vAlign w:val="bottom"/>
                </w:tcPr>
                <w:p w:rsidR="009726DD" w:rsidRDefault="009726DD" w:rsidP="009726DD">
                  <w:pPr>
                    <w:rPr>
                      <w:color w:val="000000"/>
                      <w:sz w:val="18"/>
                      <w:szCs w:val="18"/>
                    </w:rPr>
                  </w:pPr>
                  <w:r>
                    <w:rPr>
                      <w:color w:val="000000"/>
                      <w:sz w:val="18"/>
                      <w:szCs w:val="18"/>
                    </w:rPr>
                    <w:t xml:space="preserve">Werk </w:t>
                  </w:r>
                  <w:proofErr w:type="spellStart"/>
                  <w:r>
                    <w:rPr>
                      <w:color w:val="000000"/>
                      <w:sz w:val="18"/>
                      <w:szCs w:val="18"/>
                    </w:rPr>
                    <w:t>id</w:t>
                  </w:r>
                  <w:proofErr w:type="spellEnd"/>
                  <w:r>
                    <w:rPr>
                      <w:color w:val="000000"/>
                      <w:sz w:val="18"/>
                      <w:szCs w:val="18"/>
                    </w:rPr>
                    <w:t xml:space="preserve"> OR</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 xml:space="preserve">Overleg over het ophalen van vuil </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 rein</w:t>
                  </w:r>
                </w:p>
              </w:tc>
            </w:tr>
            <w:tr w:rsidR="009726DD" w:rsidRPr="003416BA" w:rsidTr="0046301E">
              <w:tc>
                <w:tcPr>
                  <w:tcW w:w="1167" w:type="dxa"/>
                  <w:shd w:val="clear" w:color="auto" w:fill="auto"/>
                  <w:vAlign w:val="bottom"/>
                </w:tcPr>
                <w:p w:rsidR="009726DD" w:rsidRDefault="009726DD" w:rsidP="009726DD">
                  <w:pPr>
                    <w:rPr>
                      <w:color w:val="000000"/>
                      <w:sz w:val="18"/>
                      <w:szCs w:val="18"/>
                    </w:rPr>
                  </w:pPr>
                  <w:r>
                    <w:rPr>
                      <w:color w:val="000000"/>
                      <w:sz w:val="18"/>
                      <w:szCs w:val="18"/>
                    </w:rPr>
                    <w:t> </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Grondwerk plantvakken goedkeuren</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 groen</w:t>
                  </w:r>
                </w:p>
              </w:tc>
            </w:tr>
            <w:tr w:rsidR="009726DD" w:rsidRPr="003416BA" w:rsidTr="0046301E">
              <w:tc>
                <w:tcPr>
                  <w:tcW w:w="1167" w:type="dxa"/>
                  <w:shd w:val="clear" w:color="auto" w:fill="auto"/>
                  <w:vAlign w:val="bottom"/>
                </w:tcPr>
                <w:p w:rsidR="009726DD" w:rsidRDefault="009726DD" w:rsidP="009726DD">
                  <w:pPr>
                    <w:rPr>
                      <w:color w:val="000000"/>
                      <w:sz w:val="18"/>
                      <w:szCs w:val="18"/>
                    </w:rPr>
                  </w:pPr>
                  <w:r>
                    <w:rPr>
                      <w:color w:val="000000"/>
                      <w:sz w:val="18"/>
                      <w:szCs w:val="18"/>
                    </w:rPr>
                    <w:t> </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Aanwijzingen verstrekken</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w:t>
                  </w:r>
                </w:p>
              </w:tc>
            </w:tr>
            <w:tr w:rsidR="009726DD" w:rsidRPr="003416BA" w:rsidTr="0046301E">
              <w:tc>
                <w:tcPr>
                  <w:tcW w:w="1167" w:type="dxa"/>
                  <w:shd w:val="clear" w:color="auto" w:fill="auto"/>
                  <w:vAlign w:val="bottom"/>
                </w:tcPr>
                <w:p w:rsidR="009726DD" w:rsidRDefault="009726DD" w:rsidP="009726DD">
                  <w:pPr>
                    <w:rPr>
                      <w:color w:val="000000"/>
                      <w:sz w:val="18"/>
                      <w:szCs w:val="18"/>
                    </w:rPr>
                  </w:pPr>
                  <w:r>
                    <w:rPr>
                      <w:color w:val="000000"/>
                      <w:sz w:val="18"/>
                      <w:szCs w:val="18"/>
                    </w:rPr>
                    <w:t> </w:t>
                  </w:r>
                </w:p>
              </w:tc>
              <w:tc>
                <w:tcPr>
                  <w:tcW w:w="763" w:type="dxa"/>
                  <w:shd w:val="clear" w:color="auto" w:fill="auto"/>
                </w:tcPr>
                <w:p w:rsidR="009726DD" w:rsidRPr="009726DD" w:rsidRDefault="009726DD" w:rsidP="009726DD">
                  <w:pPr>
                    <w:overflowPunct w:val="0"/>
                    <w:autoSpaceDE w:val="0"/>
                    <w:autoSpaceDN w:val="0"/>
                    <w:adjustRightInd w:val="0"/>
                    <w:textAlignment w:val="baseline"/>
                    <w:rPr>
                      <w:color w:val="FF0000"/>
                      <w:sz w:val="18"/>
                      <w:szCs w:val="18"/>
                    </w:rPr>
                  </w:pPr>
                </w:p>
              </w:tc>
              <w:tc>
                <w:tcPr>
                  <w:tcW w:w="7232" w:type="dxa"/>
                  <w:shd w:val="clear" w:color="auto" w:fill="auto"/>
                  <w:vAlign w:val="bottom"/>
                </w:tcPr>
                <w:p w:rsidR="009726DD" w:rsidRDefault="009726DD" w:rsidP="009726DD">
                  <w:pPr>
                    <w:rPr>
                      <w:color w:val="000000"/>
                      <w:sz w:val="18"/>
                      <w:szCs w:val="18"/>
                    </w:rPr>
                  </w:pPr>
                  <w:r>
                    <w:rPr>
                      <w:color w:val="000000"/>
                      <w:sz w:val="18"/>
                      <w:szCs w:val="18"/>
                    </w:rPr>
                    <w:t xml:space="preserve">Meldingen aanvang van werken </w:t>
                  </w:r>
                </w:p>
              </w:tc>
              <w:tc>
                <w:tcPr>
                  <w:tcW w:w="1409" w:type="dxa"/>
                  <w:shd w:val="clear" w:color="auto" w:fill="auto"/>
                  <w:vAlign w:val="bottom"/>
                </w:tcPr>
                <w:p w:rsidR="009726DD" w:rsidRDefault="009726DD" w:rsidP="009726DD">
                  <w:pPr>
                    <w:rPr>
                      <w:color w:val="000000"/>
                      <w:sz w:val="18"/>
                      <w:szCs w:val="18"/>
                    </w:rPr>
                  </w:pPr>
                  <w:r>
                    <w:rPr>
                      <w:color w:val="000000"/>
                      <w:sz w:val="18"/>
                      <w:szCs w:val="18"/>
                    </w:rPr>
                    <w:t>IBOR BB</w:t>
                  </w:r>
                </w:p>
              </w:tc>
            </w:tr>
          </w:tbl>
          <w:p w:rsidR="009726DD" w:rsidRPr="008E3D83" w:rsidRDefault="009726DD" w:rsidP="009726DD">
            <w:pPr>
              <w:ind w:left="-66"/>
              <w:rPr>
                <w:sz w:val="28"/>
                <w:szCs w:val="28"/>
              </w:rPr>
            </w:pPr>
          </w:p>
        </w:tc>
      </w:tr>
      <w:tr w:rsidR="009726DD" w:rsidRPr="00723CE6" w:rsidTr="009726DD">
        <w:trPr>
          <w:gridBefore w:val="1"/>
          <w:wBefore w:w="479" w:type="dxa"/>
          <w:trHeight w:val="735"/>
        </w:trPr>
        <w:tc>
          <w:tcPr>
            <w:tcW w:w="10727" w:type="dxa"/>
            <w:gridSpan w:val="2"/>
            <w:tcBorders>
              <w:top w:val="nil"/>
              <w:left w:val="nil"/>
              <w:bottom w:val="nil"/>
              <w:right w:val="nil"/>
            </w:tcBorders>
            <w:shd w:val="clear" w:color="auto" w:fill="auto"/>
            <w:hideMark/>
          </w:tcPr>
          <w:p w:rsidR="009726DD" w:rsidRPr="00723CE6" w:rsidRDefault="009726DD" w:rsidP="0046301E">
            <w:pPr>
              <w:spacing w:after="0"/>
              <w:rPr>
                <w:color w:val="000000"/>
                <w:sz w:val="18"/>
                <w:szCs w:val="18"/>
              </w:rPr>
            </w:pPr>
          </w:p>
        </w:tc>
      </w:tr>
      <w:tr w:rsidR="009726DD" w:rsidRPr="00723CE6" w:rsidTr="009726DD">
        <w:trPr>
          <w:gridBefore w:val="1"/>
          <w:wBefore w:w="479" w:type="dxa"/>
          <w:trHeight w:val="735"/>
        </w:trPr>
        <w:tc>
          <w:tcPr>
            <w:tcW w:w="10727" w:type="dxa"/>
            <w:gridSpan w:val="2"/>
            <w:tcBorders>
              <w:top w:val="nil"/>
              <w:left w:val="nil"/>
              <w:bottom w:val="nil"/>
              <w:right w:val="nil"/>
            </w:tcBorders>
            <w:shd w:val="clear" w:color="auto" w:fill="auto"/>
            <w:hideMark/>
          </w:tcPr>
          <w:p w:rsidR="009726DD" w:rsidRPr="00723CE6" w:rsidRDefault="009726DD" w:rsidP="0046301E">
            <w:pPr>
              <w:spacing w:after="0"/>
              <w:rPr>
                <w:color w:val="000000"/>
                <w:sz w:val="18"/>
                <w:szCs w:val="18"/>
              </w:rPr>
            </w:pPr>
          </w:p>
        </w:tc>
      </w:tr>
    </w:tbl>
    <w:p w:rsidR="009726DD" w:rsidRPr="007E562F" w:rsidRDefault="009726DD" w:rsidP="007E562F">
      <w:pPr>
        <w:rPr>
          <w:sz w:val="26"/>
          <w:szCs w:val="26"/>
        </w:rPr>
      </w:pPr>
    </w:p>
    <w:p w:rsidR="002216F0" w:rsidRPr="009F17E6" w:rsidRDefault="002216F0" w:rsidP="002216F0"/>
    <w:p w:rsidR="009F17E6" w:rsidRDefault="009F17E6" w:rsidP="002216F0">
      <w:pPr>
        <w:rPr>
          <w:szCs w:val="22"/>
        </w:rPr>
      </w:pPr>
    </w:p>
    <w:p w:rsidR="009726DD" w:rsidRDefault="009726DD" w:rsidP="002216F0"/>
    <w:sectPr w:rsidR="009726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F"/>
    <w:rsid w:val="000C77D4"/>
    <w:rsid w:val="002216F0"/>
    <w:rsid w:val="0034078A"/>
    <w:rsid w:val="007E562F"/>
    <w:rsid w:val="00817663"/>
    <w:rsid w:val="009520C0"/>
    <w:rsid w:val="009726DD"/>
    <w:rsid w:val="009F17E6"/>
    <w:rsid w:val="00E478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0A7F"/>
  <w15:chartTrackingRefBased/>
  <w15:docId w15:val="{F42CFD8D-3FFF-44AF-B4D5-917039B5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E562F"/>
    <w:pPr>
      <w:spacing w:after="120" w:line="240" w:lineRule="auto"/>
    </w:pPr>
    <w:rPr>
      <w:rFonts w:ascii="Calibri" w:eastAsia="Times New Roman" w:hAnsi="Calibri" w:cs="Times New Roman"/>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Ingesprongentekst">
    <w:name w:val="Ingesprongen tekst"/>
    <w:basedOn w:val="Standaard"/>
    <w:uiPriority w:val="99"/>
    <w:rsid w:val="007E562F"/>
    <w:pPr>
      <w:tabs>
        <w:tab w:val="left" w:pos="567"/>
        <w:tab w:val="left" w:pos="1418"/>
      </w:tabs>
      <w:spacing w:after="0" w:line="275" w:lineRule="exact"/>
      <w:ind w:left="567"/>
      <w:jc w:val="both"/>
    </w:pPr>
    <w:rPr>
      <w:rFonts w:ascii="Arial" w:hAnsi="Arial"/>
      <w:spacing w:val="20"/>
    </w:rPr>
  </w:style>
  <w:style w:type="character" w:styleId="Hyperlink">
    <w:name w:val="Hyperlink"/>
    <w:basedOn w:val="Standaardalinea-lettertype"/>
    <w:uiPriority w:val="99"/>
    <w:rsid w:val="002216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1625</Words>
  <Characters>8943</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Wytse Engelsman</dc:creator>
  <cp:keywords/>
  <dc:description/>
  <cp:lastModifiedBy>Wytse Engelsman</cp:lastModifiedBy>
  <cp:revision>3</cp:revision>
  <dcterms:created xsi:type="dcterms:W3CDTF">2018-02-07T10:59:00Z</dcterms:created>
  <dcterms:modified xsi:type="dcterms:W3CDTF">2018-02-07T11:03:00Z</dcterms:modified>
</cp:coreProperties>
</file>