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66E16">
      <w:pPr>
        <w:jc w:val="center"/>
      </w:pPr>
      <w:r>
        <w:rPr>
          <w:b/>
          <w:sz w:val="48"/>
        </w:rPr>
        <w:t>Project Proposal Report</w:t>
      </w:r>
      <w:r>
        <w:rPr>
          <w:b/>
          <w:sz w:val="48"/>
        </w:rPr>
        <w:br w:type="textWrapping"/>
      </w:r>
      <w:r>
        <w:rPr>
          <w:b/>
          <w:sz w:val="48"/>
        </w:rPr>
        <w:t>Hull Tactical - Market Prediction</w:t>
      </w:r>
    </w:p>
    <w:p w14:paraId="38BC9E23">
      <w:pPr>
        <w:jc w:val="center"/>
      </w:pPr>
      <w:r>
        <w:rPr>
          <w:sz w:val="24"/>
        </w:rPr>
        <w:t>Single-index daily tactical allocation forecasting</w:t>
      </w:r>
      <w:r>
        <w:rPr>
          <w:sz w:val="24"/>
        </w:rPr>
        <w:br w:type="textWrapping"/>
      </w:r>
      <w:r>
        <w:rPr>
          <w:sz w:val="24"/>
        </w:rPr>
        <w:t>(LightGBM + Deep Time-Series Models + Ensemble)</w:t>
      </w:r>
    </w:p>
    <w:p w14:paraId="1FFCF6B5">
      <w:pPr>
        <w:jc w:val="center"/>
      </w:pPr>
      <w:r>
        <w:rPr>
          <w:sz w:val="22"/>
        </w:rPr>
        <w:t>Date: 2026-01-15</w:t>
      </w:r>
      <w:r>
        <w:rPr>
          <w:sz w:val="22"/>
        </w:rPr>
        <w:br w:type="textWrapping"/>
      </w:r>
      <w:r>
        <w:rPr>
          <w:sz w:val="22"/>
        </w:rPr>
        <w:t>Prepared for: Kaggle Featured Code Competitio</w:t>
      </w:r>
      <w:bookmarkStart w:id="0" w:name="_GoBack"/>
      <w:bookmarkEnd w:id="0"/>
      <w:r>
        <w:rPr>
          <w:sz w:val="22"/>
        </w:rPr>
        <w:t>n</w:t>
      </w:r>
    </w:p>
    <w:p w14:paraId="7A69CB4B">
      <w:r>
        <w:br w:type="page"/>
      </w:r>
    </w:p>
    <w:p w14:paraId="1C38B95C">
      <w:pPr>
        <w:pStyle w:val="2"/>
      </w:pPr>
      <w:r>
        <w:t>1. Executive Summary</w:t>
      </w:r>
    </w:p>
    <w:p w14:paraId="03D2BC85">
      <w:r>
        <w:t>This proposal outlines a structured research and engineering plan to build a robust prediction-and-allocation pipeline for the Hull Tactical Market Prediction competition. The dataset is a single time series indexed by date_id, with grouped feature families (Market dynamics/technical, macro, rates, valuation, volatility, sentiment, momentum, and binary features) and a training-only target forward_returns. We will retain the existing LightGBM baseline as a strong tabular anchor, add two sequence models (PatchTST and Temporal Fusion Transformer) to capture longer-horizon dynamics and conditional regime effects, and combine models via blending and optional stacking using strict time-based out-of-fold (OOF) validation.</w:t>
      </w:r>
    </w:p>
    <w:p w14:paraId="69459450">
      <w:pPr>
        <w:pStyle w:val="3"/>
      </w:pPr>
      <w:r>
        <w:t>Key outcomes</w:t>
      </w:r>
    </w:p>
    <w:p w14:paraId="132711E7">
      <w:pPr>
        <w:pStyle w:val="25"/>
      </w:pPr>
      <w:r>
        <w:t>A reproducible end-to-end pipeline: data → features/windows → model training → OOF evaluation → ensemble → API-compatible inference.</w:t>
      </w:r>
    </w:p>
    <w:p w14:paraId="4061767C">
      <w:pPr>
        <w:pStyle w:val="25"/>
      </w:pPr>
      <w:r>
        <w:t>Three primary model families: LightGBM (baseline), PatchTST, TFT; optional N-BEATS as a controlled ablation.</w:t>
      </w:r>
    </w:p>
    <w:p w14:paraId="04ED11C4">
      <w:pPr>
        <w:pStyle w:val="25"/>
      </w:pPr>
      <w:r>
        <w:t>Ensembling strategy prioritized for robustness: blending first, stacking second, validated via OOF stability checks.</w:t>
      </w:r>
    </w:p>
    <w:p w14:paraId="382810C7">
      <w:pPr>
        <w:pStyle w:val="2"/>
      </w:pPr>
      <w:r>
        <w:t>2. Problem Statement and Data</w:t>
      </w:r>
    </w:p>
    <w:p w14:paraId="58C47E28">
      <w:r>
        <w:t>Goal: predict next-day S&amp;P 500 forward returns (forward_returns) or an equivalent allocation signal under a time-series API constraint (no forward peeking). The dataset is a single daily time series. Early history includes extensive missing values, which must be handled carefully to avoid leakage.</w:t>
      </w:r>
    </w:p>
    <w:p w14:paraId="3D26FD4D">
      <w:pPr>
        <w:pStyle w:val="3"/>
      </w:pPr>
      <w:r>
        <w:t>2.1 Dataset fields (high level)</w:t>
      </w:r>
    </w:p>
    <w:p w14:paraId="28AF9F10">
      <w:pPr>
        <w:pStyle w:val="25"/>
      </w:pPr>
      <w:r>
        <w:t>date_id: unique identifier for each trading day.</w:t>
      </w:r>
    </w:p>
    <w:p w14:paraId="233B18CC">
      <w:pPr>
        <w:pStyle w:val="25"/>
      </w:pPr>
      <w:r>
        <w:t>Feature families: M* (market dynamics/technical), E* (macro), I* (interest rates), P* (price/valuation), V* (volatility), S* (sentiment), MOM* (momentum), D* (binary/dummy).</w:t>
      </w:r>
    </w:p>
    <w:p w14:paraId="71EA9BAF">
      <w:pPr>
        <w:pStyle w:val="25"/>
      </w:pPr>
      <w:r>
        <w:t>forward_returns: next-day returns of buying S&amp;P 500 and selling a day later (train only).</w:t>
      </w:r>
    </w:p>
    <w:p w14:paraId="392B6F6F">
      <w:pPr>
        <w:pStyle w:val="25"/>
      </w:pPr>
      <w:r>
        <w:t>risk_free_rate and market_forward_excess_returns: additional train-only fields (may be used cautiously as targets/auxiliary signals).</w:t>
      </w:r>
    </w:p>
    <w:p w14:paraId="11DFE3E7">
      <w:pPr>
        <w:pStyle w:val="2"/>
      </w:pPr>
      <w:r>
        <w:t>3. Current Baseline (Existing Work)</w:t>
      </w:r>
    </w:p>
    <w:p w14:paraId="449A8E56">
      <w:r>
        <w:t>The current baseline uses engineered features (lags/rolling statistics and domain-inspired ratios) with a LightGBM regressor, evaluated using rank-based correlation (IC) on a time-ordered validation split. An API-compatible predict() wrapper constrains outputs and applies consistent preprocessing (e.g., scaling and clipping).</w:t>
      </w:r>
    </w:p>
    <w:p w14:paraId="3129DB20">
      <w:pPr>
        <w:pStyle w:val="3"/>
      </w:pPr>
      <w:r>
        <w:t>3.1 Strengths of the baseline</w:t>
      </w:r>
    </w:p>
    <w:p w14:paraId="3EBA847E">
      <w:pPr>
        <w:pStyle w:val="25"/>
      </w:pPr>
      <w:r>
        <w:t>Strong performance on tabular factor-style features; robust to missingness and non-linear feature interactions.</w:t>
      </w:r>
    </w:p>
    <w:p w14:paraId="48AC8418">
      <w:pPr>
        <w:pStyle w:val="25"/>
      </w:pPr>
      <w:r>
        <w:t>Fast iteration cycle for feature testing, importance analysis, and ablation studies.</w:t>
      </w:r>
    </w:p>
    <w:p w14:paraId="4856FE18">
      <w:pPr>
        <w:pStyle w:val="25"/>
      </w:pPr>
      <w:r>
        <w:t>Suitable as an anchor model in ensembles (stable OOF predictions).</w:t>
      </w:r>
    </w:p>
    <w:p w14:paraId="534F3F14">
      <w:pPr>
        <w:pStyle w:val="3"/>
      </w:pPr>
      <w:r>
        <w:t>3.2 Baseline limitations (why add deep models)</w:t>
      </w:r>
    </w:p>
    <w:p w14:paraId="55AC9AEB">
      <w:pPr>
        <w:pStyle w:val="25"/>
      </w:pPr>
      <w:r>
        <w:t>Temporal structure is only captured through manually engineered lag/rolling features.</w:t>
      </w:r>
    </w:p>
    <w:p w14:paraId="1523281F">
      <w:pPr>
        <w:pStyle w:val="25"/>
      </w:pPr>
      <w:r>
        <w:t>Harder to learn longer-horizon dependencies and regime shifts end-to-end.</w:t>
      </w:r>
    </w:p>
    <w:p w14:paraId="4F941AE8">
      <w:pPr>
        <w:pStyle w:val="25"/>
      </w:pPr>
      <w:r>
        <w:t>Potential performance ceiling when the signal requires sequence-level pattern recognition.</w:t>
      </w:r>
    </w:p>
    <w:p w14:paraId="0E46C186">
      <w:pPr>
        <w:pStyle w:val="2"/>
      </w:pPr>
      <w:r>
        <w:t>4. Proposed Workflow and System Architecture</w:t>
      </w:r>
    </w:p>
    <w:p w14:paraId="0A71C066">
      <w:r>
        <w:t>Figure 1 shows the end-to-end modeling workflow. Figure 2 shows the proposed modular architecture.</w:t>
      </w:r>
    </w:p>
    <w:p w14:paraId="4597A1BE">
      <w:r>
        <w:drawing>
          <wp:inline distT="0" distB="0" distL="114300" distR="114300">
            <wp:extent cx="6217920" cy="3707130"/>
            <wp:effectExtent l="0" t="0" r="1143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0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2AB7">
      <w:pPr>
        <w:jc w:val="center"/>
      </w:pPr>
      <w:r>
        <w:rPr>
          <w:i/>
          <w:sz w:val="20"/>
        </w:rPr>
        <w:t>Figure 1. End-to-end workflow (data → features → models → OOF validation → ensemble).</w:t>
      </w:r>
    </w:p>
    <w:p w14:paraId="624916B5">
      <w:r>
        <w:drawing>
          <wp:inline distT="0" distB="0" distL="114300" distR="114300">
            <wp:extent cx="6217920" cy="3707130"/>
            <wp:effectExtent l="0" t="0" r="1143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0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AE53">
      <w:pPr>
        <w:jc w:val="center"/>
      </w:pPr>
      <w:r>
        <w:rPr>
          <w:i/>
          <w:sz w:val="20"/>
        </w:rPr>
        <w:t>Figure 2. Project architecture (data/feature store, window builder, model zoo, trainer, validation, ensemble, inference).</w:t>
      </w:r>
    </w:p>
    <w:p w14:paraId="561D8CDA">
      <w:pPr>
        <w:pStyle w:val="2"/>
      </w:pPr>
      <w:r>
        <w:t>5. Model Plan and Comparative Analysis</w:t>
      </w:r>
    </w:p>
    <w:p w14:paraId="15544EE8">
      <w:r>
        <w:t>We will train three primary model families and evaluate them under a shared time-based OOF protocol. The emphasis is on complementary information capture and stable generalization, rather than single-split gains.</w:t>
      </w:r>
    </w:p>
    <w:p w14:paraId="540D74A6">
      <w:pPr>
        <w:pStyle w:val="3"/>
      </w:pPr>
      <w:r>
        <w:t>5.1 Model comparison (for this dataset)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930"/>
        <w:gridCol w:w="1930"/>
        <w:gridCol w:w="1930"/>
        <w:gridCol w:w="1930"/>
      </w:tblGrid>
      <w:tr w14:paraId="2DDB06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</w:tcPr>
          <w:p w14:paraId="17929571">
            <w:r>
              <w:t>Model</w:t>
            </w:r>
          </w:p>
        </w:tc>
        <w:tc>
          <w:tcPr>
            <w:tcW w:w="1930" w:type="dxa"/>
          </w:tcPr>
          <w:p w14:paraId="75E0C491">
            <w:r>
              <w:t>What it captures</w:t>
            </w:r>
          </w:p>
        </w:tc>
        <w:tc>
          <w:tcPr>
            <w:tcW w:w="1930" w:type="dxa"/>
          </w:tcPr>
          <w:p w14:paraId="6FFB555B">
            <w:r>
              <w:t>Pros</w:t>
            </w:r>
          </w:p>
        </w:tc>
        <w:tc>
          <w:tcPr>
            <w:tcW w:w="1930" w:type="dxa"/>
          </w:tcPr>
          <w:p w14:paraId="0229DB4B">
            <w:r>
              <w:t>Cons / risks</w:t>
            </w:r>
          </w:p>
        </w:tc>
        <w:tc>
          <w:tcPr>
            <w:tcW w:w="1930" w:type="dxa"/>
          </w:tcPr>
          <w:p w14:paraId="349A3A54">
            <w:r>
              <w:t>Role in ensemble</w:t>
            </w:r>
          </w:p>
        </w:tc>
      </w:tr>
      <w:tr w14:paraId="74DE0E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</w:tcPr>
          <w:p w14:paraId="4C98CF3D">
            <w:r>
              <w:t>LightGBM (baseline)</w:t>
            </w:r>
          </w:p>
        </w:tc>
        <w:tc>
          <w:tcPr>
            <w:tcW w:w="1930" w:type="dxa"/>
          </w:tcPr>
          <w:p w14:paraId="617008F8">
            <w:r>
              <w:t>Nonlinear factor interactions in tabular features</w:t>
            </w:r>
          </w:p>
        </w:tc>
        <w:tc>
          <w:tcPr>
            <w:tcW w:w="1930" w:type="dxa"/>
          </w:tcPr>
          <w:p w14:paraId="706B288F">
            <w:r>
              <w:t>Fast, robust, strong baseline; handles missingness well</w:t>
            </w:r>
          </w:p>
        </w:tc>
        <w:tc>
          <w:tcPr>
            <w:tcW w:w="1930" w:type="dxa"/>
          </w:tcPr>
          <w:p w14:paraId="540EB488">
            <w:r>
              <w:t>Limited long-horizon sequence learning; relies on engineered lags</w:t>
            </w:r>
          </w:p>
        </w:tc>
        <w:tc>
          <w:tcPr>
            <w:tcW w:w="1930" w:type="dxa"/>
          </w:tcPr>
          <w:p w14:paraId="69A336DE">
            <w:r>
              <w:t>Anchor / main component</w:t>
            </w:r>
          </w:p>
        </w:tc>
      </w:tr>
      <w:tr w14:paraId="7A1849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</w:tcPr>
          <w:p w14:paraId="55697B7D">
            <w:r>
              <w:t>PatchTST</w:t>
            </w:r>
          </w:p>
        </w:tc>
        <w:tc>
          <w:tcPr>
            <w:tcW w:w="1930" w:type="dxa"/>
          </w:tcPr>
          <w:p w14:paraId="1E35276B">
            <w:r>
              <w:t>Long-range multivariate temporal patterns via patching</w:t>
            </w:r>
          </w:p>
        </w:tc>
        <w:tc>
          <w:tcPr>
            <w:tcW w:w="1930" w:type="dxa"/>
          </w:tcPr>
          <w:p w14:paraId="581C33F2">
            <w:r>
              <w:t>Strong long-horizon modeling; simpler than TFT; often good generalization</w:t>
            </w:r>
          </w:p>
        </w:tc>
        <w:tc>
          <w:tcPr>
            <w:tcW w:w="1930" w:type="dxa"/>
          </w:tcPr>
          <w:p w14:paraId="6BB559DA">
            <w:r>
              <w:t>Requires windowing + scaling; sensitive to lookback choice</w:t>
            </w:r>
          </w:p>
        </w:tc>
        <w:tc>
          <w:tcPr>
            <w:tcW w:w="1930" w:type="dxa"/>
          </w:tcPr>
          <w:p w14:paraId="612F9915">
            <w:r>
              <w:t>Complementary time-structure model</w:t>
            </w:r>
          </w:p>
        </w:tc>
      </w:tr>
      <w:tr w14:paraId="7179D3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</w:tcPr>
          <w:p w14:paraId="34E33085">
            <w:r>
              <w:t>Temporal Fusion Transformer (TFT)</w:t>
            </w:r>
          </w:p>
        </w:tc>
        <w:tc>
          <w:tcPr>
            <w:tcW w:w="1930" w:type="dxa"/>
          </w:tcPr>
          <w:p w14:paraId="29B20AAA">
            <w:r>
              <w:t>Conditional feature importance + regime effects with attention</w:t>
            </w:r>
          </w:p>
        </w:tc>
        <w:tc>
          <w:tcPr>
            <w:tcW w:w="1930" w:type="dxa"/>
          </w:tcPr>
          <w:p w14:paraId="378770C7">
            <w:r>
              <w:t>Powerful covariate modeling; interpretable attention/feature gates</w:t>
            </w:r>
          </w:p>
        </w:tc>
        <w:tc>
          <w:tcPr>
            <w:tcW w:w="1930" w:type="dxa"/>
          </w:tcPr>
          <w:p w14:paraId="5499B420">
            <w:r>
              <w:t>Heavy training; overfit risk; pipeline complexity</w:t>
            </w:r>
          </w:p>
        </w:tc>
        <w:tc>
          <w:tcPr>
            <w:tcW w:w="1930" w:type="dxa"/>
          </w:tcPr>
          <w:p w14:paraId="015D1292">
            <w:r>
              <w:t>High-upside component, small-to-medium weight</w:t>
            </w:r>
          </w:p>
        </w:tc>
      </w:tr>
      <w:tr w14:paraId="720CE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</w:tcPr>
          <w:p w14:paraId="4466349D">
            <w:r>
              <w:t>N-BEATS (optional)</w:t>
            </w:r>
          </w:p>
        </w:tc>
        <w:tc>
          <w:tcPr>
            <w:tcW w:w="1930" w:type="dxa"/>
          </w:tcPr>
          <w:p w14:paraId="5D56AFA5">
            <w:r>
              <w:t>Trend/seasonal decomposition on target/history</w:t>
            </w:r>
          </w:p>
        </w:tc>
        <w:tc>
          <w:tcPr>
            <w:tcW w:w="1930" w:type="dxa"/>
          </w:tcPr>
          <w:p w14:paraId="030E8D43">
            <w:r>
              <w:t>Simple training; good as ablation/sanity baseline</w:t>
            </w:r>
          </w:p>
        </w:tc>
        <w:tc>
          <w:tcPr>
            <w:tcW w:w="1930" w:type="dxa"/>
          </w:tcPr>
          <w:p w14:paraId="643CA884">
            <w:r>
              <w:t>Weak covariate use; may add little on noisy returns</w:t>
            </w:r>
          </w:p>
        </w:tc>
        <w:tc>
          <w:tcPr>
            <w:tcW w:w="1930" w:type="dxa"/>
          </w:tcPr>
          <w:p w14:paraId="7ED0959F">
            <w:r>
              <w:t>Optional auxiliary model</w:t>
            </w:r>
          </w:p>
        </w:tc>
      </w:tr>
    </w:tbl>
    <w:p w14:paraId="356AFFEC">
      <w:pPr>
        <w:pStyle w:val="2"/>
      </w:pPr>
      <w:r>
        <w:t>6. Validation Strategy and Leakage Controls</w:t>
      </w:r>
    </w:p>
    <w:p w14:paraId="5D27EB35">
      <w:r>
        <w:t>Because the task is time-series with an API that prevents forward peeking, validation must mirror the deployment setting. We will use time-based splits and generate out-of-fold predictions for all models before ensembling.</w:t>
      </w:r>
    </w:p>
    <w:p w14:paraId="1C2B8A17">
      <w:pPr>
        <w:pStyle w:val="3"/>
      </w:pPr>
      <w:r>
        <w:t>6.1 Recommended OOF protocol</w:t>
      </w:r>
    </w:p>
    <w:p w14:paraId="26C82CB1">
      <w:pPr>
        <w:pStyle w:val="25"/>
      </w:pPr>
      <w:r>
        <w:t>Primary: rolling or expanding window CV with non-overlapping validation blocks.</w:t>
      </w:r>
    </w:p>
    <w:p w14:paraId="7B81D322">
      <w:pPr>
        <w:pStyle w:val="25"/>
      </w:pPr>
      <w:r>
        <w:t>OOF storage: save per-day predictions for each model and each fold.</w:t>
      </w:r>
    </w:p>
    <w:p w14:paraId="6348D49C">
      <w:pPr>
        <w:pStyle w:val="25"/>
      </w:pPr>
      <w:r>
        <w:t>Metrics: Spearman IC; plus stability diagnostics by time block and by regime (e.g., volatility quantiles).</w:t>
      </w:r>
    </w:p>
    <w:p w14:paraId="0B3AA816">
      <w:pPr>
        <w:pStyle w:val="3"/>
      </w:pPr>
      <w:r>
        <w:t>6.2 Leakage safeguards</w:t>
      </w:r>
    </w:p>
    <w:p w14:paraId="1AB9044B">
      <w:pPr>
        <w:pStyle w:val="25"/>
      </w:pPr>
      <w:r>
        <w:t>All feature engineering uses only information available up to date_id (strict causality).</w:t>
      </w:r>
    </w:p>
    <w:p w14:paraId="417AC8C6">
      <w:pPr>
        <w:pStyle w:val="25"/>
      </w:pPr>
      <w:r>
        <w:t>Scaling/normalization is fit on training portion only within each fold, then applied to validation.</w:t>
      </w:r>
    </w:p>
    <w:p w14:paraId="5D41F482">
      <w:pPr>
        <w:pStyle w:val="25"/>
      </w:pPr>
      <w:r>
        <w:t>Any regime model (e.g., clustering) is trained within fold boundaries to avoid peeking.</w:t>
      </w:r>
    </w:p>
    <w:p w14:paraId="3EF53459">
      <w:pPr>
        <w:pStyle w:val="2"/>
      </w:pPr>
      <w:r>
        <w:t>7. Ensembling Plan (Blending and Stacking)</w:t>
      </w:r>
    </w:p>
    <w:p w14:paraId="631A3D38">
      <w:r>
        <w:t>Ensembling will be performed only on OOF predictions to prevent optimistic bias. We prioritize blending for robustness, and use stacking only if it shows stable improvements across folds.</w:t>
      </w:r>
    </w:p>
    <w:p w14:paraId="4F91A24A">
      <w:pPr>
        <w:pStyle w:val="3"/>
      </w:pPr>
      <w:r>
        <w:t>7.1 Blending (first choice)</w:t>
      </w:r>
    </w:p>
    <w:p w14:paraId="33A31C8E">
      <w:pPr>
        <w:pStyle w:val="25"/>
      </w:pPr>
      <w:r>
        <w:t>Compute weights on OOF predictions (grid search or constrained regression).</w:t>
      </w:r>
    </w:p>
    <w:p w14:paraId="50B55E98">
      <w:pPr>
        <w:pStyle w:val="25"/>
      </w:pPr>
      <w:r>
        <w:t>Keep weights stable by using regularization and by checking sensitivity across folds.</w:t>
      </w:r>
    </w:p>
    <w:p w14:paraId="4AA22F23">
      <w:pPr>
        <w:pStyle w:val="25"/>
      </w:pPr>
      <w:r>
        <w:t>Optionally use regime-dependent weights (e.g., separate weights for high/low volatility regimes) if validated.</w:t>
      </w:r>
    </w:p>
    <w:p w14:paraId="166F33A1">
      <w:pPr>
        <w:pStyle w:val="3"/>
      </w:pPr>
      <w:r>
        <w:t>7.2 Stacking (optional, second stage)</w:t>
      </w:r>
    </w:p>
    <w:p w14:paraId="228EBAA4">
      <w:pPr>
        <w:pStyle w:val="25"/>
      </w:pPr>
      <w:r>
        <w:t>Train a simple meta-model (Ridge or small LightGBM) on OOF predictions.</w:t>
      </w:r>
    </w:p>
    <w:p w14:paraId="11EE8C80">
      <w:pPr>
        <w:pStyle w:val="25"/>
      </w:pPr>
      <w:r>
        <w:t>Strictly train meta-model on OOF only; final fit uses full training after meta-weights are fixed.</w:t>
      </w:r>
    </w:p>
    <w:p w14:paraId="6E28BC16">
      <w:pPr>
        <w:pStyle w:val="25"/>
      </w:pPr>
      <w:r>
        <w:t>Use conservative regularization to avoid overfitting to OOF noise.</w:t>
      </w:r>
    </w:p>
    <w:p w14:paraId="6CF43168">
      <w:pPr>
        <w:pStyle w:val="2"/>
      </w:pPr>
      <w:r>
        <w:t>8. Implementation Plan and Repository Structure</w:t>
      </w:r>
    </w:p>
    <w:p w14:paraId="4B74E888">
      <w:pPr>
        <w:pStyle w:val="3"/>
      </w:pPr>
      <w:r>
        <w:t>8.1 Suggested repository layout</w:t>
      </w:r>
    </w:p>
    <w:p w14:paraId="069DEDAF">
      <w:r>
        <w:t>A modular structure keeps experimentation fast while ensuring reproducibility:</w:t>
      </w:r>
    </w:p>
    <w:p w14:paraId="5B2AF41D">
      <w:r>
        <w:rPr>
          <w:rFonts w:ascii="Consolas" w:hAnsi="Consolas"/>
          <w:sz w:val="20"/>
        </w:rPr>
        <w:t>project/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data/                  # raw train/test (not committed if large)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features/              # feature definitions + cached feature store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models/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lgbm.py              # baseline training/inference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patchtst.py          # PatchTST model + training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tft.py               # TFT model + training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nbeats.py            # optional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validation/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splits.py            # time-based CV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metrics.py           # IC + diagnostics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ensemble/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blend.py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stack.py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inference/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api_predict.py       # Kaggle API wrapper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notebooks/             # EDA and experiments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configs/               # YAML/JSON configs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reports/               # this proposal + experiment logs</w:t>
      </w:r>
      <w:r>
        <w:rPr>
          <w:rFonts w:ascii="Consolas" w:hAnsi="Consolas"/>
          <w:sz w:val="20"/>
        </w:rPr>
        <w:br w:type="textWrapping"/>
      </w:r>
    </w:p>
    <w:p w14:paraId="598936E4">
      <w:pPr>
        <w:pStyle w:val="3"/>
      </w:pPr>
      <w:r>
        <w:t>8.2 Engineering requirements</w:t>
      </w:r>
    </w:p>
    <w:p w14:paraId="36054889">
      <w:pPr>
        <w:pStyle w:val="25"/>
      </w:pPr>
      <w:r>
        <w:t>Unified window builder so PatchTST/TFT share identical inputs and leakage controls.</w:t>
      </w:r>
    </w:p>
    <w:p w14:paraId="6AD4F486">
      <w:pPr>
        <w:pStyle w:val="25"/>
      </w:pPr>
      <w:r>
        <w:t>Deterministic seeds, experiment logging (params, folds, scores), and model artifact versioning.</w:t>
      </w:r>
    </w:p>
    <w:p w14:paraId="5F0FF433">
      <w:pPr>
        <w:pStyle w:val="25"/>
      </w:pPr>
      <w:r>
        <w:t>Inference latency control (cache rolling window state; avoid heavy per-step recomputation).</w:t>
      </w:r>
    </w:p>
    <w:p w14:paraId="2D853940">
      <w:pPr>
        <w:pStyle w:val="2"/>
      </w:pPr>
      <w:r>
        <w:t>9. Milestones, Timeline, and Deliverables</w:t>
      </w:r>
    </w:p>
    <w:p w14:paraId="5CC603D0">
      <w:r>
        <w:t>A pragmatic 4-phase plan (adjustable based on compute budget and results):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653F64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72ABB1A6">
            <w:r>
              <w:t>Phase</w:t>
            </w:r>
          </w:p>
        </w:tc>
        <w:tc>
          <w:tcPr>
            <w:tcW w:w="3216" w:type="dxa"/>
          </w:tcPr>
          <w:p w14:paraId="7F0C5CD1">
            <w:r>
              <w:t>Scope</w:t>
            </w:r>
          </w:p>
        </w:tc>
        <w:tc>
          <w:tcPr>
            <w:tcW w:w="3216" w:type="dxa"/>
          </w:tcPr>
          <w:p w14:paraId="74F06352">
            <w:r>
              <w:t>Deliverables</w:t>
            </w:r>
          </w:p>
        </w:tc>
      </w:tr>
      <w:tr w14:paraId="00087F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53737165">
            <w:r>
              <w:t>Phase 1 (1-2 weeks)</w:t>
            </w:r>
          </w:p>
        </w:tc>
        <w:tc>
          <w:tcPr>
            <w:tcW w:w="3216" w:type="dxa"/>
          </w:tcPr>
          <w:p w14:paraId="2EB47969">
            <w:r>
              <w:t>Validation hardening + OOF pipeline</w:t>
            </w:r>
          </w:p>
        </w:tc>
        <w:tc>
          <w:tcPr>
            <w:tcW w:w="3216" w:type="dxa"/>
          </w:tcPr>
          <w:p w14:paraId="2257FFCB">
            <w:r>
              <w:t>Time-based CV module; OOF store; baseline LGBM score &amp; stability report</w:t>
            </w:r>
          </w:p>
        </w:tc>
      </w:tr>
      <w:tr w14:paraId="27BC9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5522B497">
            <w:r>
              <w:t>Phase 2 (1-2 weeks)</w:t>
            </w:r>
          </w:p>
        </w:tc>
        <w:tc>
          <w:tcPr>
            <w:tcW w:w="3216" w:type="dxa"/>
          </w:tcPr>
          <w:p w14:paraId="6390E905">
            <w:r>
              <w:t>PatchTST implementation + tuning</w:t>
            </w:r>
          </w:p>
        </w:tc>
        <w:tc>
          <w:tcPr>
            <w:tcW w:w="3216" w:type="dxa"/>
          </w:tcPr>
          <w:p w14:paraId="1DB28763">
            <w:r>
              <w:t>PatchTST training/inference; OOF predictions; LGBM+PatchTST blending</w:t>
            </w:r>
          </w:p>
        </w:tc>
      </w:tr>
      <w:tr w14:paraId="050A5F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37C9FD5D">
            <w:r>
              <w:t>Phase 3 (2-3 weeks)</w:t>
            </w:r>
          </w:p>
        </w:tc>
        <w:tc>
          <w:tcPr>
            <w:tcW w:w="3216" w:type="dxa"/>
          </w:tcPr>
          <w:p w14:paraId="47819F5E">
            <w:r>
              <w:t>TFT implementation + careful regularization</w:t>
            </w:r>
          </w:p>
        </w:tc>
        <w:tc>
          <w:tcPr>
            <w:tcW w:w="3216" w:type="dxa"/>
          </w:tcPr>
          <w:p w14:paraId="47F35A16">
            <w:r>
              <w:t>TFT OOF; diagnostics; tri-model blending; optional regime-weighting</w:t>
            </w:r>
          </w:p>
        </w:tc>
      </w:tr>
      <w:tr w14:paraId="0404D0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6776B1A4">
            <w:r>
              <w:t>Phase 4 (ongoing)</w:t>
            </w:r>
          </w:p>
        </w:tc>
        <w:tc>
          <w:tcPr>
            <w:tcW w:w="3216" w:type="dxa"/>
          </w:tcPr>
          <w:p w14:paraId="4D1F4E1D">
            <w:r>
              <w:t>Finalize ensemble + runtime optimization</w:t>
            </w:r>
          </w:p>
        </w:tc>
        <w:tc>
          <w:tcPr>
            <w:tcW w:w="3216" w:type="dxa"/>
          </w:tcPr>
          <w:p w14:paraId="61A3602E">
            <w:r>
              <w:t>Final submission candidates; ablation report; reproducible inference notebook</w:t>
            </w:r>
          </w:p>
        </w:tc>
      </w:tr>
    </w:tbl>
    <w:p w14:paraId="3A51AACA">
      <w:pPr>
        <w:pStyle w:val="2"/>
      </w:pPr>
      <w:r>
        <w:t>10. Risks and Mitigations</w:t>
      </w:r>
    </w:p>
    <w:p w14:paraId="69E1E237">
      <w:pPr>
        <w:pStyle w:val="25"/>
      </w:pPr>
      <w:r>
        <w:t>Risk: time-series leakage inflates CV → Mitigation: fold-local scaling, strict causal features, OOF-only ensemble training.</w:t>
      </w:r>
    </w:p>
    <w:p w14:paraId="42213462">
      <w:pPr>
        <w:pStyle w:val="25"/>
      </w:pPr>
      <w:r>
        <w:t>Risk: TFT overfitting / unstable gains → Mitigation: conservative model size, early stopping, strong regularization, blending with small weight.</w:t>
      </w:r>
    </w:p>
    <w:p w14:paraId="60D024B3">
      <w:pPr>
        <w:pStyle w:val="25"/>
      </w:pPr>
      <w:r>
        <w:t>Risk: runtime limits in code competition → Mitigation: prioritize LGBM + PatchTST for speed; cache rolling windows; prune heavy features.</w:t>
      </w:r>
    </w:p>
    <w:p w14:paraId="6C09898D">
      <w:pPr>
        <w:pStyle w:val="25"/>
      </w:pPr>
      <w:r>
        <w:t>Risk: marginal returns from extra models → Mitigation: use complementarity tests (prediction correlation, residual correlation, segmented IC) before adding complexity.</w:t>
      </w:r>
    </w:p>
    <w:p w14:paraId="35F11249">
      <w:pPr>
        <w:pStyle w:val="2"/>
      </w:pPr>
      <w:r>
        <w:t>11. References (selected)</w:t>
      </w:r>
    </w:p>
    <w:p w14:paraId="6697080C">
      <w:pPr>
        <w:pStyle w:val="25"/>
      </w:pPr>
      <w:r>
        <w:t>Oreshkin et al. (2019). N-BEATS: Neural basis expansion analysis for interpretable time series forecasting.</w:t>
      </w:r>
    </w:p>
    <w:p w14:paraId="58F724C5">
      <w:pPr>
        <w:pStyle w:val="25"/>
      </w:pPr>
      <w:r>
        <w:t>Lim et al. (2021). Temporal Fusion Transformers for interpretable multi-horizon time series forecasting.</w:t>
      </w:r>
    </w:p>
    <w:p w14:paraId="64D70D28">
      <w:pPr>
        <w:pStyle w:val="25"/>
      </w:pPr>
      <w:r>
        <w:t>Nie et al. (2023). PatchTST: Long-term time series forecasting with patch-based transformers.</w:t>
      </w:r>
    </w:p>
    <w:p w14:paraId="27BD00BE">
      <w:pPr>
        <w:pStyle w:val="25"/>
      </w:pPr>
      <w:r>
        <w:t>Lopez de Prado (2018). Advances in Financial Machine Learning (validation and leakage controls).</w:t>
      </w:r>
    </w:p>
    <w:sectPr>
      <w:pgSz w:w="12240" w:h="15840"/>
      <w:pgMar w:top="1152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6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80560A0"/>
    <w:rsid w:val="7588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7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19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0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4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6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7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0">
    <w:name w:val="Body Text"/>
    <w:basedOn w:val="1"/>
    <w:link w:val="144"/>
    <w:unhideWhenUsed/>
    <w:qFormat/>
    <w:uiPriority w:val="99"/>
    <w:pPr>
      <w:spacing w:after="120"/>
    </w:pPr>
  </w:style>
  <w:style w:type="paragraph" w:styleId="31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7"/>
    <w:uiPriority w:val="99"/>
  </w:style>
  <w:style w:type="character" w:customStyle="1" w:styleId="136">
    <w:name w:val="Footer Char"/>
    <w:basedOn w:val="11"/>
    <w:link w:val="32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2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30"/>
    <w:qFormat/>
    <w:uiPriority w:val="99"/>
  </w:style>
  <w:style w:type="character" w:customStyle="1" w:styleId="145">
    <w:name w:val="Body Text 2 Char"/>
    <w:basedOn w:val="11"/>
    <w:link w:val="21"/>
    <w:qFormat/>
    <w:uiPriority w:val="99"/>
  </w:style>
  <w:style w:type="character" w:customStyle="1" w:styleId="146">
    <w:name w:val="Body Text 3 Char"/>
    <w:basedOn w:val="11"/>
    <w:link w:val="31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20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1185</Words>
  <Characters>7829</Characters>
  <Lines>0</Lines>
  <Paragraphs>0</Paragraphs>
  <TotalTime>63</TotalTime>
  <ScaleCrop>false</ScaleCrop>
  <LinksUpToDate>false</LinksUpToDate>
  <CharactersWithSpaces>9078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高力谨</cp:lastModifiedBy>
  <dcterms:modified xsi:type="dcterms:W3CDTF">2026-01-15T06:22:15Z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3076-12.2.0.23196</vt:lpwstr>
  </property>
  <property fmtid="{D5CDD505-2E9C-101B-9397-08002B2CF9AE}" pid="3" name="ICV">
    <vt:lpwstr>520E9BA881A34732A9583FFAAAB88A05_13</vt:lpwstr>
  </property>
</Properties>
</file>