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This document outlines the (folder) structure and functionality of the BCS NodeJS Backend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Each folder directory contains the controllers, styling (scss), 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Some modules are in development/feature phases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NodeJS Backend Structure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API Module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layer for handling authentication and token management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Controllers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Handlers for each cloud resource method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Controllers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Controllers for handling FE requests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Fetches data from portal database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Deploy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Cloudbuild/Kubernetes yaml configuration files utilized in deployment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Handlers for fetching docs from GCP storage and serving to FE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Docs and image for certain email templates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Jobs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job processors that are set to recurring schedules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admin reports, alerts, QBR, monthly budget updates, invoices, and validations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 DB schemas for all types of collections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Big_query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 modules for bigQuery API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Views for configuring bigquery requests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Google_analytics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Netbrain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Science_logic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 module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GQL module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Searcher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Routes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 handlers for all backend routes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 handler for API routes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Microservice handler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Folder for all temporary/dynamically generated files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files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Util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