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EBC3B" w14:textId="32A0EE66" w:rsidR="00EE78E1" w:rsidRDefault="003D5204" w:rsidP="003D5204">
      <w:pPr>
        <w:pStyle w:val="Prrafodelista"/>
        <w:numPr>
          <w:ilvl w:val="0"/>
          <w:numId w:val="1"/>
        </w:numPr>
      </w:pPr>
      <w:r w:rsidRPr="003D5204">
        <w:t>Encontramos que hay clientes que n</w:t>
      </w:r>
      <w:r>
        <w:t>o tienen edad asignada, la mayoría son empresas; a las cuales les asignamos</w:t>
      </w:r>
      <w:r w:rsidR="00EB4553">
        <w:t xml:space="preserve"> edad -1</w:t>
      </w:r>
      <w:r w:rsidR="006A3447">
        <w:t xml:space="preserve"> para crear una barrera numérica que separe los datos que realmente son edad, para en el futuro facilitarle al algoritmo comprender que este grupo se comporta distinto al resto; mientras que hay un cliente</w:t>
      </w:r>
      <w:r w:rsidR="00B6656D">
        <w:t xml:space="preserve"> (</w:t>
      </w:r>
      <w:r w:rsidR="00B6656D" w:rsidRPr="00B6656D">
        <w:t>cliente_468723</w:t>
      </w:r>
      <w:r w:rsidR="00B6656D">
        <w:t>) al cual se le asigno la mediana de los datos.</w:t>
      </w:r>
    </w:p>
    <w:p w14:paraId="6A20D54F" w14:textId="77777777" w:rsidR="00F211C4" w:rsidRDefault="00F211C4" w:rsidP="00F211C4"/>
    <w:p w14:paraId="14593E97" w14:textId="461F17FE" w:rsidR="00813D08" w:rsidRDefault="000C1635" w:rsidP="00F211C4">
      <w:r>
        <w:t>Valor no coincide con cantidad*precio porque ambos se multiplicaron por un factor, por lo que en varios casos la multiplicación no dará exacto, pero en la teoría, se debe considerar que valor es esa multiplicación. Se recomienda manejarlo con lo que sale en la columna valor. A</w:t>
      </w:r>
      <w:r w:rsidR="00BF0B77">
        <w:t>m</w:t>
      </w:r>
      <w:r>
        <w:t>bos valores, tanto valor cantidad y precio son valores ofuscados, si queremos manejarlo por precio unitario debe usarse la columna precio</w:t>
      </w:r>
      <w:r w:rsidR="00BF0B77">
        <w:t>, pero si queremos ver el total de la compra ahí si es con valor. Valor y precio fueron multiplicados por un factor, pero cantidad por otro, de tal manera que la multiplicación no dará exactamente lo mismo, pero en teoría, para el entendimiento y análisis, valor representa cuanto costo toda la transacción y el precio es el precio unitario del producto que se llevo</w:t>
      </w:r>
    </w:p>
    <w:p w14:paraId="5CAD1C2F" w14:textId="55D74243" w:rsidR="00E81453" w:rsidRDefault="00E81453" w:rsidP="00F211C4">
      <w:r>
        <w:t xml:space="preserve">En la base transaccional cada fila representa un producto comprado, por lo que, si una persona compro </w:t>
      </w:r>
      <w:r w:rsidR="008C020A">
        <w:t>más</w:t>
      </w:r>
      <w:r>
        <w:t xml:space="preserve"> de un producto, el id de pedido se repite</w:t>
      </w:r>
    </w:p>
    <w:p w14:paraId="66B77BEA" w14:textId="4D6FDA51" w:rsidR="00E81453" w:rsidRDefault="00E81453" w:rsidP="00F211C4">
      <w:r>
        <w:t>Asesor se refiere a una persona, un asesor de ventas en el centro corona.</w:t>
      </w:r>
    </w:p>
    <w:p w14:paraId="2F7195E5" w14:textId="3D8C4F41" w:rsidR="00E81453" w:rsidRDefault="00E81453" w:rsidP="00F211C4">
      <w:r>
        <w:t>El cliente que aparece en la base transaccional pero no en el maestro queda a discreción de cada grupo si lo quiere incluir, la decisión debe ser pensando que me permite tener un mejor análisis en el patrón de las ventas, del consumo y otros factores.</w:t>
      </w:r>
    </w:p>
    <w:p w14:paraId="4B0DF842" w14:textId="0E595ECD" w:rsidR="00E81453" w:rsidRDefault="00E81453" w:rsidP="00F211C4">
      <w:r>
        <w:t>Los códigos de producto, categoría, municipio y punto de venta permanecerán anonimizados todo el reto.</w:t>
      </w:r>
    </w:p>
    <w:p w14:paraId="4EB16EB2" w14:textId="09C80FD1" w:rsidR="00E81453" w:rsidRDefault="00E81453" w:rsidP="00F211C4">
      <w:r>
        <w:t>Las fechas de pedido y primera fecha fueron anonimizados, lo único que no es anonimizado es la región y el negocio. Si bien se cambio algunos datos de ese registro, el orden cronológico contin</w:t>
      </w:r>
      <w:r w:rsidR="005E2623">
        <w:t>ú</w:t>
      </w:r>
      <w:r>
        <w:t>a. Entonces no significa que una fecha de pedido del 01/01/2000 ocurriera en esa fecha, pero ese pedido si ocurrió primero que un pedido con fecha 01/01/2001.</w:t>
      </w:r>
    </w:p>
    <w:p w14:paraId="79A8DCCF" w14:textId="001E6859" w:rsidR="005E2623" w:rsidRDefault="005E2623" w:rsidP="00F211C4">
      <w:r>
        <w:t>El horizonte de tiempo de las bases es de más o menos dos años y medio en tiempo. Recomendamos recolectar información externa de los últimos tres cuatro o cinco años, asumamos que es un reto actual, por lo que la información externa debe estar lo más actualizada posible de acuerdo con lo que se encuentre.</w:t>
      </w:r>
    </w:p>
    <w:p w14:paraId="4A2BFB71" w14:textId="0D2E8C0B" w:rsidR="005E2623" w:rsidRDefault="005E2623" w:rsidP="00F211C4">
      <w:r>
        <w:t>No se puede confirmar si se cambio en las fechas solo el año, o también el mes y el día, pero igual el orden cronológico se mantiene.</w:t>
      </w:r>
    </w:p>
    <w:p w14:paraId="3DFFB746" w14:textId="19D4BA59" w:rsidR="005E2623" w:rsidRDefault="005E2623" w:rsidP="00F211C4">
      <w:r>
        <w:t>No se da un diccionario de productos, la idea es todo tratarlo anonimizado tal y como esta. Se pueden encontrar indicios a través de observar el negocio al cual corresponde ese producto.</w:t>
      </w:r>
    </w:p>
    <w:p w14:paraId="6D437AE0" w14:textId="79D9DBFF" w:rsidR="005E2623" w:rsidRDefault="005E2623" w:rsidP="00F211C4">
      <w:r>
        <w:t>Hay productos que pueden estar en varias categorías y en varios negocios. Digamos un accesorio que puede servir tanto para un baño como para una cocina, entonces podría estar bajo dos categorías o subcategorías.</w:t>
      </w:r>
    </w:p>
    <w:p w14:paraId="22EE9821" w14:textId="33E32AE2" w:rsidR="005E2623" w:rsidRDefault="005E2623" w:rsidP="00F211C4">
      <w:r>
        <w:lastRenderedPageBreak/>
        <w:t>Hay subcategorías que tienen varias categorías asociadas, y no hay que elegir uno u otro, sino comprender que hacen parte de dos categorías.</w:t>
      </w:r>
    </w:p>
    <w:p w14:paraId="32ABCFFE" w14:textId="6F86F861" w:rsidR="005E2623" w:rsidRDefault="005E2623" w:rsidP="00F211C4">
      <w:r>
        <w:t>La primera fecha corresponde a la fecha de la primera compra dentro del horizonte que estamos revisando.</w:t>
      </w:r>
    </w:p>
    <w:p w14:paraId="472F2D1D" w14:textId="7B649C41" w:rsidR="005E2623" w:rsidRDefault="005E2623" w:rsidP="00F211C4">
      <w:r>
        <w:t>La edad corresponde a la edad del cliente en 2026</w:t>
      </w:r>
      <w:r w:rsidR="00514C56">
        <w:t>, la que tenía al hacer la extracción de datos</w:t>
      </w:r>
      <w:r>
        <w:t xml:space="preserve">. Edad, </w:t>
      </w:r>
      <w:r w:rsidR="008E6E30">
        <w:t>género</w:t>
      </w:r>
      <w:r>
        <w:t xml:space="preserve"> y tipo de cliente no se anonimizo </w:t>
      </w:r>
    </w:p>
    <w:p w14:paraId="2E612123" w14:textId="4A12BD43" w:rsidR="002F677A" w:rsidRDefault="002F677A" w:rsidP="00F211C4">
      <w:r>
        <w:t>Asumamos que las tendencias se pueden mirar con la fecha de mes, como las fechas que correspondan a navidades u otros eventos.</w:t>
      </w:r>
    </w:p>
    <w:p w14:paraId="578D85A0" w14:textId="080887F4" w:rsidR="002F677A" w:rsidRDefault="002F677A" w:rsidP="00F211C4">
      <w:r>
        <w:t>La base transaccional representa la totalidad de las ventas escogidos en puntos físicos corona.</w:t>
      </w:r>
    </w:p>
    <w:p w14:paraId="1E15F2F6" w14:textId="6C38BC31" w:rsidR="002F677A" w:rsidRDefault="002F677A" w:rsidP="00F211C4">
      <w:r>
        <w:t>Hay que tener en cuenta que la situación de una persona no es la misma de otra, por ejemplo, hay gente que cuando nació no tenía internet, y vivió la transición hasta ahora, y a esa gente le puede preocupar mucho si la tasa de su baño se daña o no se daña, pero esa misma persona hace 10 años que estaba estudiando se las hubiese arreglado para estar sin tasa, entonces hay que fijarse en las diferentes actitudes y propiedades generacionales que permitan entender comportamientos asociados a sus decisiones. O, por ejemplo, si tengo casa propia y se rompe la tasa esa persona ira a comprarla, pero puede que esa misma persona si esta arrendando le diga al dueño del apartamento, o si es estudiante se puede hacer el bobo hasta que alguien se de cuenta. Ese tipo de actitudes marcan un comportamiento diferente en los clientes.</w:t>
      </w:r>
    </w:p>
    <w:p w14:paraId="13A80542" w14:textId="491E7004" w:rsidR="002F677A" w:rsidRDefault="002F677A" w:rsidP="00F211C4">
      <w:r>
        <w:t>Es diferente como se relaciona una persona, por ejemplo, en arriendo, con los productos de corona que un hotel, o una empresa de remodelación. Por lo que la naturaleza de sus compras puede depender de la naturaleza de sus actividades o edad.</w:t>
      </w:r>
    </w:p>
    <w:p w14:paraId="7EB85CDF" w14:textId="5C031475" w:rsidR="002F677A" w:rsidRDefault="008C35E3" w:rsidP="00F211C4">
      <w:r>
        <w:t>Empresa es cualquier entidad registrada con un NIT, no es un tipo de empresa especifico</w:t>
      </w:r>
    </w:p>
    <w:p w14:paraId="6BB84348" w14:textId="536A234F" w:rsidR="008C35E3" w:rsidRDefault="008C35E3" w:rsidP="00F211C4">
      <w:r>
        <w:t>Los registros con precio, cantidad o valor en 0 quedan a discreción del grupo como se trata, se puede complementar un valor en 0 o nulo con los otros valores</w:t>
      </w:r>
    </w:p>
    <w:p w14:paraId="744F9015" w14:textId="4365B8BA" w:rsidR="008C35E3" w:rsidRDefault="008C35E3" w:rsidP="00F211C4">
      <w:r>
        <w:t>Si hay filas con valor igual a 0, estos valores son devoluciones.</w:t>
      </w:r>
      <w:r w:rsidR="008A2815">
        <w:t xml:space="preserve"> Puede existir el correspondiente valor positivo de la orden. Cada fila representa un movimiento: compra, devolución o ambos.</w:t>
      </w:r>
    </w:p>
    <w:p w14:paraId="2AA25995" w14:textId="2E0B206A" w:rsidR="00D0092C" w:rsidRDefault="008C35E3" w:rsidP="00D0092C">
      <w:r>
        <w:t>La resta entre fechas da un resultado real, porque se mantiene la cronología.</w:t>
      </w:r>
    </w:p>
    <w:p w14:paraId="45DE317C" w14:textId="24175456" w:rsidR="00167D7B" w:rsidRDefault="00D0092C" w:rsidP="00F211C4">
      <w:r>
        <w:t>El ID del pedido es un identificador para cada uno de los pedidos. Entendiendo que cada fila muestra solo un producto, es probable que este ID se repita en varias filas. Por ejemplo, si una persona compra: Pintura, un sanitario y una lavadora aparecerá tres veces.</w:t>
      </w:r>
    </w:p>
    <w:p w14:paraId="68EEC9DE" w14:textId="330571E3" w:rsidR="00D0092C" w:rsidRDefault="00D0092C" w:rsidP="00F211C4">
      <w:r>
        <w:t>La región corresponde al departamento donde esta ubicado el punto de venta, el cual puede venir conformado por varios municipios asociados.</w:t>
      </w:r>
    </w:p>
    <w:p w14:paraId="11297D32" w14:textId="563EA84B" w:rsidR="00D0092C" w:rsidRDefault="00D0092C" w:rsidP="00F211C4">
      <w:r>
        <w:t xml:space="preserve">El clúster son agrupaciones de tiendas con características distintas. Internamente en corona se agruparon los distintos puntos de venta entre 9 grupos diferentes, dependido la estrategia comercial que se tenga para cada uno de esos puntos físicos, y van dirigidos a un consumidor diferente de acuerdo con el análisis que se ha hecho de su patrón de compras, su nivel </w:t>
      </w:r>
      <w:r>
        <w:lastRenderedPageBreak/>
        <w:t xml:space="preserve">socioeconómico y otras variables. Ósea el Cluster responde a una estrategia comercial y a un perfil del consumidor que normalmente va a ese punto de venta. </w:t>
      </w:r>
    </w:p>
    <w:p w14:paraId="58E72FFB" w14:textId="590B6817" w:rsidR="00D0092C" w:rsidRDefault="00D0092C" w:rsidP="00F211C4">
      <w:r>
        <w:t>En los puntos de venta físico hay unos televisores y computadores en los cuales uno puede hacer compras</w:t>
      </w:r>
      <w:r w:rsidR="00514C56">
        <w:t>, por lo que todas las transacciones son de puntos físicos, pero uno de los clusters corresponde a esta “tienda virtual”.</w:t>
      </w:r>
    </w:p>
    <w:p w14:paraId="5A820C7F" w14:textId="7AE37B62" w:rsidR="00514C56" w:rsidRDefault="00514C56" w:rsidP="00514C56">
      <w:r>
        <w:t>Los clusters dan un indicio del perfil del comprador, pero realmente yo puedo tener un centro corona cerca a donde resido, pero compro en otro en un sector porque estaba de viaje o cerca de mi oficina, y este centro corona no encaja 100% con mi perfil. O también, puede que el centro corona que me queda al lado tampoco encaje al 100%. Por esto, puede ser mejor revisar su comportamiento de compra que la tienda donde compran.</w:t>
      </w:r>
    </w:p>
    <w:p w14:paraId="42516596" w14:textId="77777777" w:rsidR="00514C56" w:rsidRDefault="00514C56" w:rsidP="00514C56"/>
    <w:p w14:paraId="7A31C4CC" w14:textId="40A1F9D9" w:rsidR="00D0092C" w:rsidRDefault="002826F3" w:rsidP="00F211C4">
      <w:r>
        <w:t>POR COMPLETAR HALLAZGOS DE LIMPIEZA INICIAL</w:t>
      </w:r>
    </w:p>
    <w:p w14:paraId="52D650CD" w14:textId="77777777" w:rsidR="002826F3" w:rsidRDefault="002826F3" w:rsidP="00F211C4"/>
    <w:p w14:paraId="396DD344" w14:textId="2F623500" w:rsidR="002826F3" w:rsidRDefault="002826F3" w:rsidP="00F211C4">
      <w:r>
        <w:t>RFM</w:t>
      </w:r>
    </w:p>
    <w:p w14:paraId="654C8477" w14:textId="45492AE3" w:rsidR="002826F3" w:rsidRDefault="002826F3" w:rsidP="00F211C4">
      <w:hyperlink r:id="rId5" w:anchor="idh_rfm_transactions" w:history="1">
        <w:r w:rsidRPr="00840B56">
          <w:rPr>
            <w:rStyle w:val="Hipervnculo"/>
          </w:rPr>
          <w:t>https://www.ibm.com/docs/es/spss-statistics/32.0.0?topic=analysis-rfm-scores-from-transaction-data#idh_rfm_transactions</w:t>
        </w:r>
      </w:hyperlink>
    </w:p>
    <w:p w14:paraId="14D7D7F9" w14:textId="56F26E03" w:rsidR="002826F3" w:rsidRDefault="002826F3" w:rsidP="00F211C4">
      <w:r>
        <w:t>Se aplica como primera</w:t>
      </w:r>
      <w:r w:rsidR="00420AF9">
        <w:t xml:space="preserve"> medida como una forma de clasificar a los clientes en función de la recencia, la frecuencia y el valor monetario de sus transacciones. </w:t>
      </w:r>
    </w:p>
    <w:p w14:paraId="1117AC00" w14:textId="542E23C9" w:rsidR="00413A22" w:rsidRDefault="00420AF9" w:rsidP="00F211C4">
      <w:r w:rsidRPr="00413A22">
        <w:rPr>
          <w:i/>
          <w:iCs/>
        </w:rPr>
        <w:t>Recencia</w:t>
      </w:r>
      <w:r>
        <w:t xml:space="preserve">: que tan reciente fue la </w:t>
      </w:r>
      <w:r w:rsidR="007B610A">
        <w:t>última</w:t>
      </w:r>
      <w:r>
        <w:t xml:space="preserve"> compra del cliente</w:t>
      </w:r>
      <w:r w:rsidR="007B610A">
        <w:t>. S</w:t>
      </w:r>
      <w:r>
        <w:t>e parte de la idea que entre mas reciente sea la adquisición tienen mas posibilidades de volver a adquirir</w:t>
      </w:r>
      <w:r w:rsidR="00E818E5">
        <w:t>.</w:t>
      </w:r>
    </w:p>
    <w:p w14:paraId="3CAA15CD" w14:textId="083C6C69" w:rsidR="00420AF9" w:rsidRDefault="00413A22" w:rsidP="00F211C4">
      <w:r>
        <w:t>Esta se halló calculando los días transcurridos desde la ultima compra de cada cliente hasta la fecha de corte de la base de datos, es decir la fecha mas reciente que se encuentre.</w:t>
      </w:r>
    </w:p>
    <w:p w14:paraId="259635A2" w14:textId="500A2BE3" w:rsidR="00E818E5" w:rsidRDefault="00E818E5" w:rsidP="00F211C4">
      <w:r w:rsidRPr="00413A22">
        <w:rPr>
          <w:i/>
          <w:iCs/>
        </w:rPr>
        <w:t>Frecuencia</w:t>
      </w:r>
      <w:r>
        <w:t xml:space="preserve">: la cantidad de veces que el cliente hace </w:t>
      </w:r>
      <w:r w:rsidR="007B610A">
        <w:t>compra. S</w:t>
      </w:r>
      <w:r>
        <w:t xml:space="preserve">e parte de la idea que entre </w:t>
      </w:r>
      <w:r w:rsidR="007B610A">
        <w:t>más</w:t>
      </w:r>
      <w:r>
        <w:t xml:space="preserve"> productos compre un cliente mas posibilidades de respuesta tendrá. Asimismo, muestra a las personas con mas probabilidades de seguir comprando la marca después de su primera compra</w:t>
      </w:r>
      <w:r w:rsidR="007B610A">
        <w:t>.</w:t>
      </w:r>
    </w:p>
    <w:p w14:paraId="6F33E06B" w14:textId="2C766617" w:rsidR="00413A22" w:rsidRPr="00413A22" w:rsidRDefault="00413A22" w:rsidP="00F211C4">
      <w:r>
        <w:t>Este valor se hallo sumando la cantidad de pedidos asignados (ID Pedido)</w:t>
      </w:r>
      <w:r w:rsidRPr="00413A22">
        <w:t xml:space="preserve"> </w:t>
      </w:r>
      <w:r>
        <w:t>a cada cliente en lugar de sumar cada fila asignada a cada cliente, ya que con esta métrica queremos ver la cantidad de pedidos que realmente se hicieron en lugar de la cantidad de productos comprados (o devueltos), que es precisamente lo que representaría sumar todas las filas por cliente.</w:t>
      </w:r>
    </w:p>
    <w:p w14:paraId="600FDC86" w14:textId="3AC86849" w:rsidR="007B610A" w:rsidRDefault="007B610A" w:rsidP="00F211C4">
      <w:r w:rsidRPr="00413A22">
        <w:rPr>
          <w:i/>
          <w:iCs/>
        </w:rPr>
        <w:t>Valor monetario</w:t>
      </w:r>
      <w:r>
        <w:t>: Cuanto gasta un cliente en el umbral de tiempo. Se parte de la idea que entre mas compra un cliente en el pasado, mas posibilidades tiene de volver a comprar. Sin embargo, es importante analizar el comportamiento del consumidor pues puede que los clientes con mayor valor monetario no compren artículos tan frecuentemente, pero suelen adquirir productos mas caros cuando lo hacen.</w:t>
      </w:r>
    </w:p>
    <w:p w14:paraId="0051433C" w14:textId="488CF3F8" w:rsidR="00354C5D" w:rsidRDefault="00413A22" w:rsidP="00F211C4">
      <w:r>
        <w:t xml:space="preserve">Para esto, sumamos la columna valor en los pedidos de cada cliente para registrar el valor neto (Compras – Devoluciones) y extrajimos en otra columna el monto correspondiente a devoluciones para así diferenciar los comportamientos de los clientes, pues un cliente que compro 100.000 </w:t>
      </w:r>
      <w:r>
        <w:lastRenderedPageBreak/>
        <w:t>pesos en productos, y otro que compro 120.000 y devolvió 20.000 tienen el mismo valor monetario, mas no responden a un comportamiento igual</w:t>
      </w:r>
      <w:r w:rsidR="00354C5D">
        <w:t>.</w:t>
      </w:r>
    </w:p>
    <w:p w14:paraId="5653A610" w14:textId="65709ABF" w:rsidR="00971B98" w:rsidRDefault="002A7244" w:rsidP="00F211C4">
      <w:hyperlink r:id="rId6" w:history="1">
        <w:r w:rsidRPr="00422E13">
          <w:rPr>
            <w:rStyle w:val="Hipervnculo"/>
          </w:rPr>
          <w:t>https://repositorio.uniandes.edu.co/server/api/core/bitstreams/abf52bd7-a3d7-4917-9821-35e39107895d/content</w:t>
        </w:r>
      </w:hyperlink>
    </w:p>
    <w:p w14:paraId="68C39D1B" w14:textId="36602B9D" w:rsidR="00E818E5" w:rsidRDefault="00971B98" w:rsidP="00F211C4">
      <w:r>
        <w:t>El articulo encontrado en el repositorio de la Universidad de Los Andes nos da un enfoque aplicable al proyecto con su metodología de clasificación: Discretiza recencia y valor monetario por quintiles (1-5) donde 5 representa los clientes de fecha de compra más recientes o los que mas han invertido respectivamente, mientras que el puntaje de la frecuencia; dada la alta concentración de clientes con compra única o pocas compras; se asigna bajo reglas fijas.</w:t>
      </w:r>
    </w:p>
    <w:p w14:paraId="2236D973" w14:textId="15D796BD" w:rsidR="00971B98" w:rsidRDefault="00971B98" w:rsidP="00F211C4">
      <w:r w:rsidRPr="00971B98">
        <w:rPr>
          <w:noProof/>
        </w:rPr>
        <w:drawing>
          <wp:inline distT="0" distB="0" distL="0" distR="0" wp14:anchorId="0ABE92E6" wp14:editId="224179FA">
            <wp:extent cx="5612130" cy="3475355"/>
            <wp:effectExtent l="0" t="0" r="7620" b="0"/>
            <wp:docPr id="1416242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242418" name=""/>
                    <pic:cNvPicPr/>
                  </pic:nvPicPr>
                  <pic:blipFill>
                    <a:blip r:embed="rId7"/>
                    <a:stretch>
                      <a:fillRect/>
                    </a:stretch>
                  </pic:blipFill>
                  <pic:spPr>
                    <a:xfrm>
                      <a:off x="0" y="0"/>
                      <a:ext cx="5612130" cy="3475355"/>
                    </a:xfrm>
                    <a:prstGeom prst="rect">
                      <a:avLst/>
                    </a:prstGeom>
                  </pic:spPr>
                </pic:pic>
              </a:graphicData>
            </a:graphic>
          </wp:inline>
        </w:drawing>
      </w:r>
    </w:p>
    <w:p w14:paraId="52250359" w14:textId="465FD6A5" w:rsidR="0017264F" w:rsidRDefault="0017264F" w:rsidP="00F211C4">
      <w:r>
        <w:t>Para calcular el RFM ponderado como otra métrica posiblemente relevante se le asignaron pesos determinados a la recencia, frecuencia y valor monetario. Dado que el comportamiento de compra para corona es de baja frecuencia, pero de alto valor monetario, y la recencia pesa mucho durante la realización del proyecto, pero disminuye drásticamente cuando se termine la adecuación o realización de este, se propone usar pesos de 40%/20%/40% respectivamente como una ponderación orientada a identificar el momento del proyecto del cliente.</w:t>
      </w:r>
    </w:p>
    <w:p w14:paraId="352E565E" w14:textId="14092117" w:rsidR="0017264F" w:rsidRDefault="00F629D0" w:rsidP="00F211C4">
      <w:hyperlink r:id="rId8" w:history="1">
        <w:r w:rsidRPr="00495478">
          <w:rPr>
            <w:rStyle w:val="Hipervnculo"/>
          </w:rPr>
          <w:t>https://repositorio.uchile.cl/bitstream/handle/2250/117075/cffritis_nc.pdf?sequence=1</w:t>
        </w:r>
      </w:hyperlink>
    </w:p>
    <w:p w14:paraId="79B7664F" w14:textId="71FAE55E" w:rsidR="00C26CFB" w:rsidRDefault="00C26CFB" w:rsidP="00F211C4">
      <w:hyperlink r:id="rId9" w:history="1">
        <w:r w:rsidRPr="00495478">
          <w:rPr>
            <w:rStyle w:val="Hipervnculo"/>
          </w:rPr>
          <w:t>https://www.bcg.com/publications/2025/market-performance-focus-beats-diversification</w:t>
        </w:r>
      </w:hyperlink>
    </w:p>
    <w:p w14:paraId="54F60621" w14:textId="3349C7EA" w:rsidR="00C26CFB" w:rsidRDefault="00C26CFB" w:rsidP="00F211C4">
      <w:hyperlink r:id="rId10" w:history="1">
        <w:r w:rsidRPr="00495478">
          <w:rPr>
            <w:rStyle w:val="Hipervnculo"/>
          </w:rPr>
          <w:t>https://www.mastercard.com/content/mccom/eu/mt/en/news-and-trends/Insights/2024/what-share-wallet-sow.html</w:t>
        </w:r>
      </w:hyperlink>
    </w:p>
    <w:p w14:paraId="0CBE31D5" w14:textId="65B868C9" w:rsidR="00F629D0" w:rsidRDefault="00F629D0" w:rsidP="00F211C4">
      <w:r>
        <w:t xml:space="preserve">En contextos de retail </w:t>
      </w:r>
      <w:r w:rsidR="00BF53C0">
        <w:t xml:space="preserve">multicategoria como es el de corona, las métricas RFM resultan insuficientes para explicar por si solas el comportamiento del consumidor, por lo que se deben crear métricas </w:t>
      </w:r>
      <w:r w:rsidR="00BF53C0">
        <w:lastRenderedPageBreak/>
        <w:t xml:space="preserve">que evalúen la dispersión del gasto entre las líneas de negocio. Para </w:t>
      </w:r>
      <w:r w:rsidR="007654D5">
        <w:t>superar esta limitación,</w:t>
      </w:r>
      <w:r w:rsidR="00BF53C0">
        <w:t xml:space="preserve"> s</w:t>
      </w:r>
      <w:r>
        <w:t>e integró el análisis de comportamiento propuesto por Fritis (2014)</w:t>
      </w:r>
      <w:r w:rsidR="007654D5">
        <w:t xml:space="preserve"> sobre la intensidad de compra inter-categoria, para así analizar la </w:t>
      </w:r>
      <w:r w:rsidR="00C26CFB">
        <w:t>coocurrencia</w:t>
      </w:r>
      <w:r w:rsidR="007654D5">
        <w:t xml:space="preserve"> de productos o divisiones comerciales, y el nivel de penetración cruzada del portafolio de corona. Esta perspectiva se </w:t>
      </w:r>
      <w:r w:rsidR="00C26CFB">
        <w:t xml:space="preserve">complementó ajustando el </w:t>
      </w:r>
      <w:r w:rsidR="00C26CFB" w:rsidRPr="00C26CFB">
        <w:t xml:space="preserve">índice </w:t>
      </w:r>
      <w:r w:rsidR="00C26CFB" w:rsidRPr="00C26CFB">
        <w:rPr>
          <w:i/>
          <w:iCs/>
        </w:rPr>
        <w:t>Herfindahl-Hirschman</w:t>
      </w:r>
      <w:r w:rsidR="006549B1">
        <w:rPr>
          <w:i/>
          <w:iCs/>
        </w:rPr>
        <w:t xml:space="preserve"> (IHH)</w:t>
      </w:r>
      <w:r w:rsidR="00C26CFB">
        <w:t xml:space="preserve"> para cuantificar el grado de diversificación del gasto del cliente, la distribución del </w:t>
      </w:r>
      <w:r w:rsidR="00C26CFB" w:rsidRPr="00C26CFB">
        <w:rPr>
          <w:i/>
          <w:iCs/>
        </w:rPr>
        <w:t>Share of Wallet</w:t>
      </w:r>
      <w:r w:rsidR="00C26CFB">
        <w:rPr>
          <w:i/>
          <w:iCs/>
        </w:rPr>
        <w:t xml:space="preserve"> (SOW) </w:t>
      </w:r>
      <w:r w:rsidR="00C26CFB">
        <w:t xml:space="preserve">por cada uno de los 5 negocios de corona, </w:t>
      </w:r>
      <w:r w:rsidR="006549B1">
        <w:t>y otras variables de diversidad del portafolio.</w:t>
      </w:r>
    </w:p>
    <w:p w14:paraId="32B9C67E" w14:textId="6C872A99" w:rsidR="00D659B9" w:rsidRDefault="00D659B9" w:rsidP="00F211C4">
      <w:r>
        <w:t>El objetivo de la intensidad inter-categoria</w:t>
      </w:r>
      <w:r w:rsidR="000E5C18">
        <w:t xml:space="preserve"> es medir la profundidad con la que un cliente explota el catálogo de una empresa. </w:t>
      </w:r>
      <w:r>
        <w:t>La intensidad inter-categoria servirá para explicar la ceguera que proporciona la frecuencia y valor monetario, pues dos clientes pueden tener la misma frecuencia de compra y el mismo valor monetario aportado, pero la frecuencia de uno pudo ser de una sola categoría mientras que la del otro pudo ser de varias categorías.</w:t>
      </w:r>
      <w:r w:rsidR="000E5C18">
        <w:t xml:space="preserve"> La dispersión de compras muestra </w:t>
      </w:r>
      <w:r w:rsidR="00B235E1">
        <w:t xml:space="preserve">el perfil de usuario y ayuda a hacer </w:t>
      </w:r>
      <w:r w:rsidR="00B235E1" w:rsidRPr="00B235E1">
        <w:rPr>
          <w:i/>
          <w:iCs/>
        </w:rPr>
        <w:t>White space an</w:t>
      </w:r>
      <w:r w:rsidR="00B235E1">
        <w:rPr>
          <w:i/>
          <w:iCs/>
        </w:rPr>
        <w:t>alys</w:t>
      </w:r>
      <w:r w:rsidR="00B235E1" w:rsidRPr="00B235E1">
        <w:rPr>
          <w:i/>
          <w:iCs/>
        </w:rPr>
        <w:t>is</w:t>
      </w:r>
      <w:r w:rsidR="00B235E1">
        <w:t xml:space="preserve"> para encontrar necesidades no satisfechas de los clientes y nuevas oportunidades de crecimiento</w:t>
      </w:r>
      <w:r w:rsidR="00B40B14">
        <w:t xml:space="preserve"> para después aplicar estrategia de cross-selling y upselling.</w:t>
      </w:r>
    </w:p>
    <w:p w14:paraId="5E90CD6E" w14:textId="38BD72E9" w:rsidR="00FC062F" w:rsidRDefault="00FC062F" w:rsidP="00F211C4">
      <w:hyperlink r:id="rId11" w:history="1">
        <w:r w:rsidRPr="00495478">
          <w:rPr>
            <w:rStyle w:val="Hipervnculo"/>
          </w:rPr>
          <w:t>https://faculty.wharton.upenn.edu/wp-content/uploads/2012/05/Rfm_clv_2005-02-16_accepted.pdf</w:t>
        </w:r>
      </w:hyperlink>
    </w:p>
    <w:p w14:paraId="36654065" w14:textId="7278E170" w:rsidR="00FC062F" w:rsidRDefault="00FC062F" w:rsidP="00F211C4">
      <w:hyperlink r:id="rId12" w:history="1">
        <w:r w:rsidRPr="00495478">
          <w:rPr>
            <w:rStyle w:val="Hipervnculo"/>
          </w:rPr>
          <w:t>https://repository.upenn.edu/server/api/core/bitstreams/30cc31cc-5fe7-4f3c-b243-9e284d78a1a1/content</w:t>
        </w:r>
      </w:hyperlink>
    </w:p>
    <w:p w14:paraId="61F4CB81" w14:textId="77777777" w:rsidR="00273AED" w:rsidRPr="00273AED" w:rsidRDefault="00273AED" w:rsidP="00273AED">
      <w:r w:rsidRPr="00273AED">
        <w:t>Complementando la visión estática de la recencia, la literatura cuantitativa sobre modelos probabilísticos en entornos no contractuales (Fader &amp; Hardie, 2005a; Fader et al., 2005b) demuestra que el comportamiento del cliente debe evaluarse según su ritmo intrínseco de recompra y la ventana de interacción observada. Un cliente con alta recencia no necesariamente está extinto o inactivo si su ciclo natural de compra es prolongado (por ejemplo, proyectos de remodelación o construcción de larga duración). Para modelar esta inercia temporal, se implementaron tres métricas clave:</w:t>
      </w:r>
    </w:p>
    <w:p w14:paraId="07300ADA" w14:textId="5B8CDBD3" w:rsidR="00273AED" w:rsidRPr="00273AED" w:rsidRDefault="00273AED" w:rsidP="00273AED">
      <w:r w:rsidRPr="00FC062F">
        <w:rPr>
          <w:i/>
          <w:iCs/>
        </w:rPr>
        <w:t>Días de Antigüedad (Tenure):</w:t>
      </w:r>
      <w:r w:rsidRPr="00273AED">
        <w:t xml:space="preserve"> Mide el tiempo total transcurrido desde la primera compra registrada del cliente hasta la fecha de corte global de la base de datos (</w:t>
      </w:r>
      <m:oMath>
        <m:r>
          <m:rPr>
            <m:nor/>
          </m:rPr>
          <m:t>Fecha Corte</m:t>
        </m:r>
        <m:r>
          <w:rPr>
            <w:rFonts w:ascii="Cambria Math" w:hAnsi="Cambria Math"/>
          </w:rPr>
          <m:t>-</m:t>
        </m:r>
        <m:r>
          <m:rPr>
            <m:nor/>
          </m:rPr>
          <m:t>Primera Fecha</m:t>
        </m:r>
      </m:oMath>
      <w:r w:rsidRPr="00273AED">
        <w:t>). Contextualiza el tiempo de vida del cliente en la marca.</w:t>
      </w:r>
    </w:p>
    <w:p w14:paraId="591D11C1" w14:textId="5C0D1406" w:rsidR="00273AED" w:rsidRPr="00273AED" w:rsidRDefault="00273AED" w:rsidP="00273AED">
      <w:r w:rsidRPr="00FC062F">
        <w:rPr>
          <w:i/>
          <w:iCs/>
        </w:rPr>
        <w:t>Rango de Días Activos</w:t>
      </w:r>
      <w:r w:rsidRPr="00273AED">
        <w:rPr>
          <w:b/>
          <w:bCs/>
        </w:rPr>
        <w:t>:</w:t>
      </w:r>
      <w:r w:rsidRPr="00273AED">
        <w:t xml:space="preserve"> Refleja la ventana temporal real durante la cual el cliente estuvo ejecutando compras (</w:t>
      </w:r>
      <m:oMath>
        <m:r>
          <m:rPr>
            <m:nor/>
          </m:rPr>
          <m:t>Última Fecha</m:t>
        </m:r>
        <m:r>
          <w:rPr>
            <w:rFonts w:ascii="Cambria Math" w:hAnsi="Cambria Math"/>
          </w:rPr>
          <m:t>-</m:t>
        </m:r>
        <m:r>
          <m:rPr>
            <m:nor/>
          </m:rPr>
          <m:t>Primera Fecha</m:t>
        </m:r>
      </m:oMath>
      <w:r w:rsidRPr="00273AED">
        <w:t>). Permite diferenciar a clientes de comportamiento concentrado en una ventana corta de aquellos con una relación sostenida en el tiempo.</w:t>
      </w:r>
    </w:p>
    <w:p w14:paraId="4B3EFAAB" w14:textId="4CC973D7" w:rsidR="00273AED" w:rsidRDefault="00273AED" w:rsidP="00273AED">
      <w:r w:rsidRPr="00FC062F">
        <w:rPr>
          <w:i/>
          <w:iCs/>
        </w:rPr>
        <w:t>Intervalo Promedio Inter-compra:</w:t>
      </w:r>
      <w:r w:rsidRPr="00273AED">
        <w:t xml:space="preserve"> Calcula la velocidad media de recompra en días entre pedidos consecutivos</w:t>
      </w:r>
    </w:p>
    <w:p w14:paraId="6A1C58E6" w14:textId="10F5F5C2" w:rsidR="00FC062F" w:rsidRDefault="00FC062F" w:rsidP="00273AED">
      <w:hyperlink r:id="rId13" w:history="1">
        <w:r w:rsidRPr="00495478">
          <w:rPr>
            <w:rStyle w:val="Hipervnculo"/>
          </w:rPr>
          <w:t>https://arxiv.org/pdf/1603.02754</w:t>
        </w:r>
      </w:hyperlink>
    </w:p>
    <w:p w14:paraId="4A000D31" w14:textId="123369FF" w:rsidR="00273AED" w:rsidRPr="00273AED" w:rsidRDefault="00273AED" w:rsidP="00273AED">
      <w:r w:rsidRPr="00273AED">
        <w:rPr>
          <w:i/>
          <w:iCs/>
        </w:rPr>
        <w:t>Tratamiento de sesgos en Python:</w:t>
      </w:r>
      <w:r w:rsidRPr="00273AED">
        <w:t xml:space="preserve"> Para evitar distorsiones matemáticas en clientes con una sola compra (</w:t>
      </w:r>
      <m:oMath>
        <m:r>
          <m:rPr>
            <m:nor/>
          </m:rPr>
          <m:t>Total Pedidos</m:t>
        </m:r>
        <m:r>
          <w:rPr>
            <w:rFonts w:ascii="Cambria Math" w:hAnsi="Cambria Math"/>
          </w:rPr>
          <m:t>=1</m:t>
        </m:r>
      </m:oMath>
      <w:r w:rsidRPr="00273AED">
        <w:t xml:space="preserve">), se asigna un valor nulo (NaN) en lugar de </w:t>
      </w:r>
      <m:oMath>
        <m:r>
          <w:rPr>
            <w:rFonts w:ascii="Cambria Math" w:hAnsi="Cambria Math"/>
          </w:rPr>
          <m:t>0</m:t>
        </m:r>
      </m:oMath>
      <w:r w:rsidRPr="00273AED">
        <w:t xml:space="preserve"> (Chen &amp; Guestrin, 2016; Ke et al., 2017). Esto previene que los algoritmos de </w:t>
      </w:r>
      <w:r w:rsidRPr="00273AED">
        <w:rPr>
          <w:i/>
          <w:iCs/>
        </w:rPr>
        <w:t>machine learning</w:t>
      </w:r>
      <w:r w:rsidRPr="00273AED">
        <w:t xml:space="preserve"> interpreten a los compradores de única transacción como clientes con velocidad de compra "infinita" o hiperactiva.</w:t>
      </w:r>
    </w:p>
    <w:p w14:paraId="45AF7AE8" w14:textId="77777777" w:rsidR="00273AED" w:rsidRPr="00273AED" w:rsidRDefault="00273AED" w:rsidP="00273AED">
      <w:r w:rsidRPr="00273AED">
        <w:lastRenderedPageBreak/>
        <w:t>En sectores de retail multicategoría y materiales de construcción, las métricas RFM resultan insuficientes para explicar la complejidad operativa por sí solas (Boston Consulting Group [BCG], 2024; Mastercard Economics Institute, 2024). No logran distinguir el rol operativo del cliente (por ejemplo, un cliente profesional o maestro de obra con movilidad entre múltiples obras versus un consumidor final local). Para capturar esta dispersión operativa y la dependencia del canal, se estructuraron indicadores de movilidad y concentración basados en la lealtad Top-1:</w:t>
      </w:r>
    </w:p>
    <w:p w14:paraId="780AFC68" w14:textId="77777777" w:rsidR="00273AED" w:rsidRPr="00273AED" w:rsidRDefault="00273AED" w:rsidP="00273AED">
      <w:r w:rsidRPr="00273AED">
        <w:rPr>
          <w:i/>
          <w:iCs/>
        </w:rPr>
        <w:t>Movilidad Geográfica y de Red:</w:t>
      </w:r>
      <w:r w:rsidRPr="00273AED">
        <w:t xml:space="preserve"> Se mide la diversidad de uso del canal mediante el conteo único de Municipios_Distintos, Puntos_Venta_Distintos y Asesores_Distintos que han atendido al cliente. Altos niveles de dispersión señalan clientes móviles o corporativos con cobertura regional.</w:t>
      </w:r>
    </w:p>
    <w:p w14:paraId="10EECE6F" w14:textId="6B61A9BB" w:rsidR="00273AED" w:rsidRPr="00273AED" w:rsidRDefault="00273AED" w:rsidP="00273AED">
      <w:r w:rsidRPr="00273AED">
        <w:rPr>
          <w:i/>
          <w:iCs/>
        </w:rPr>
        <w:t>Índice de Concentración en Punto de Venta (PDV):</w:t>
      </w:r>
      <w:r w:rsidRPr="00273AED">
        <w:t xml:space="preserve"> Mide el grado de lealtad o dependencia hacia la tienda principal del cliente:</w:t>
      </w:r>
    </w:p>
    <w:p w14:paraId="34724534" w14:textId="44E1C041" w:rsidR="00273AED" w:rsidRPr="00273AED" w:rsidRDefault="00273AED" w:rsidP="00273AED">
      <w:r w:rsidRPr="00273AED">
        <w:t xml:space="preserve">Un índice cercano a </w:t>
      </w:r>
      <m:oMath>
        <m:r>
          <w:rPr>
            <w:rFonts w:ascii="Cambria Math" w:hAnsi="Cambria Math"/>
          </w:rPr>
          <m:t>1.0</m:t>
        </m:r>
      </m:oMath>
      <w:r w:rsidRPr="00273AED">
        <w:t xml:space="preserve"> identifica alta dependencia a una tienda física o canal digital específico por conveniencia geográfica o hábito.</w:t>
      </w:r>
    </w:p>
    <w:p w14:paraId="658AF923" w14:textId="3E33EFDC" w:rsidR="00273AED" w:rsidRDefault="00273AED" w:rsidP="00273AED">
      <w:r w:rsidRPr="00273AED">
        <w:rPr>
          <w:i/>
          <w:iCs/>
        </w:rPr>
        <w:t>Índice de Concentración en Asesor</w:t>
      </w:r>
      <w:r w:rsidRPr="00273AED">
        <w:rPr>
          <w:b/>
          <w:bCs/>
        </w:rPr>
        <w:t>:</w:t>
      </w:r>
      <w:r w:rsidRPr="00273AED">
        <w:t xml:space="preserve"> Evalúa la fuerza de la relación comercial directa vendedor-cliente</w:t>
      </w:r>
    </w:p>
    <w:p w14:paraId="22A57358" w14:textId="53F47DCD" w:rsidR="00273AED" w:rsidRPr="00273AED" w:rsidRDefault="00273AED" w:rsidP="00273AED">
      <w:r w:rsidRPr="00273AED">
        <w:t>Un índice elevado refleja una venta asistida personalizada de alto valor agregado (clave para proyectos complejos de arquitectura o remodelación), mientras que un índice bajo describe compras no asistidas, transaccionales o multitarea.</w:t>
      </w:r>
    </w:p>
    <w:p w14:paraId="21ECCAC1" w14:textId="77777777" w:rsidR="00B40B14" w:rsidRDefault="00B40B14" w:rsidP="00F211C4"/>
    <w:p w14:paraId="1D527E7C" w14:textId="5F178E11" w:rsidR="004704F2" w:rsidRDefault="004704F2" w:rsidP="00F211C4">
      <w:r>
        <w:t xml:space="preserve">Después de esta primera etapa de feature engineering, quedamos con una matriz de 42 columnas. Sin embargo, </w:t>
      </w:r>
      <w:r w:rsidR="00954AAA">
        <w:t xml:space="preserve">no necesariamente las 42 variables serán usadas, ya que necesitamos evitar problemas de multicolinealidad entre predictores, </w:t>
      </w:r>
      <w:r w:rsidR="008E6E30">
        <w:t>exogeneidad,</w:t>
      </w:r>
      <w:r w:rsidR="00954AAA">
        <w:t xml:space="preserve"> asimetría severa, entre otros.</w:t>
      </w:r>
    </w:p>
    <w:p w14:paraId="7C3E10DE" w14:textId="4213F833" w:rsidR="00157666" w:rsidRDefault="00157666" w:rsidP="00F211C4">
      <w:r>
        <w:t>Para evitar problemas en etapas posteriores, inicialmente trataremos los datos que puedan representar conflicto. Empezando por el tratamiento de datos nulos, los cuales estructuralmente solo pueden ocurrir en la variable Intervalo_Promedio_Dias que calcula el numero promedio de días que transcurren entre cada pedido, pero filtra solo a los clientes que han realizado más de una compra</w:t>
      </w:r>
      <w:r w:rsidR="00C76AB4">
        <w:t xml:space="preserve"> (</w:t>
      </w:r>
      <w:r w:rsidRPr="00157666">
        <w:t xml:space="preserve">Si un cliente tiene 1 o 0 pedidos, no se puede calcular un intervalo entre compras, por lo que devuelve </w:t>
      </w:r>
      <w:r>
        <w:t>un valor nulo</w:t>
      </w:r>
      <w:r w:rsidR="00C76AB4">
        <w:t xml:space="preserve">). Para imputar estos valores NaN, le asignaremos a este valor el percentil 99.5, que es equivalente a un valor de tiempo muy alto para reflejar la realidad del negocio: </w:t>
      </w:r>
      <w:r w:rsidR="006C28ED" w:rsidRPr="006C28ED">
        <w:t>un cliente con una sola compra tiene un intervalo de re-compra teóricamente "infinito" o muy largo en el horizonte de tiempo actual.</w:t>
      </w:r>
    </w:p>
    <w:p w14:paraId="26708105" w14:textId="4FB90446" w:rsidR="006C28ED" w:rsidRDefault="006C28ED" w:rsidP="00F211C4">
      <w:r>
        <w:t>En segundo lugar, filtraremos las variables con varianza casi nula, ya que teóricamente no aportan capacidad de discriminación o carecen de poder explicativo sobre la variable dependiente. Esto lo haremos a través de VarianceThreshold de la librería scikit-learn</w:t>
      </w:r>
      <w:r w:rsidR="00C22091">
        <w:t xml:space="preserve"> diferenciando la naturaleza matemática de cada variable, por lo cual se tratará la varianza según el tipo de variable de la siguiente forma:</w:t>
      </w:r>
    </w:p>
    <w:p w14:paraId="77D6C7DF" w14:textId="37DE7212" w:rsidR="000F3828" w:rsidRDefault="00C22091" w:rsidP="00C22091">
      <w:pPr>
        <w:pStyle w:val="Prrafodelista"/>
        <w:numPr>
          <w:ilvl w:val="0"/>
          <w:numId w:val="8"/>
        </w:numPr>
      </w:pPr>
      <w:r>
        <w:t xml:space="preserve">Variables Binarias: </w:t>
      </w:r>
    </w:p>
    <w:p w14:paraId="6A715104" w14:textId="72DE25AB" w:rsidR="000F3828" w:rsidRPr="000F3828" w:rsidRDefault="000F3828" w:rsidP="000F3828">
      <w:pPr>
        <w:pStyle w:val="Prrafodelista"/>
        <w:rPr>
          <w:rFonts w:eastAsiaTheme="minorEastAsia"/>
        </w:rPr>
      </w:pPr>
      <m:oMathPara>
        <m:oMath>
          <m:r>
            <w:rPr>
              <w:rFonts w:ascii="Cambria Math" w:hAnsi="Cambria Math"/>
            </w:rPr>
            <m:t>Var(X)=p(1-p)</m:t>
          </m:r>
        </m:oMath>
      </m:oMathPara>
    </w:p>
    <w:p w14:paraId="6060977E" w14:textId="082F1B00" w:rsidR="000F3828" w:rsidRPr="000F3828" w:rsidRDefault="000F3828" w:rsidP="000F3828">
      <w:pPr>
        <w:pStyle w:val="Prrafodelista"/>
        <w:rPr>
          <w:rFonts w:eastAsiaTheme="minorEastAsia"/>
        </w:rPr>
      </w:pPr>
      <m:oMathPara>
        <m:oMath>
          <m:r>
            <w:rPr>
              <w:rFonts w:ascii="Cambria Math" w:hAnsi="Cambria Math"/>
            </w:rPr>
            <m:t>Var(X)=0.01*(1-0.01)=0.0099</m:t>
          </m:r>
        </m:oMath>
      </m:oMathPara>
    </w:p>
    <w:p w14:paraId="766F41EF" w14:textId="1B173874" w:rsidR="000F3828" w:rsidRDefault="000F3828" w:rsidP="000F3828">
      <w:pPr>
        <w:pStyle w:val="Prrafodelista"/>
      </w:pPr>
      <w:r>
        <w:lastRenderedPageBreak/>
        <w:t>Donde sí una categoría aparece menos del 1% o más del 99% del total de clientes, ósea la varianza binaria es menor a 0.0099, se concluye que la variable no aporta poder discriminante y se elimina.</w:t>
      </w:r>
    </w:p>
    <w:p w14:paraId="541091C3" w14:textId="453F708D" w:rsidR="00C22091" w:rsidRDefault="00C22091" w:rsidP="00C22091">
      <w:pPr>
        <w:pStyle w:val="Prrafodelista"/>
        <w:numPr>
          <w:ilvl w:val="0"/>
          <w:numId w:val="8"/>
        </w:numPr>
      </w:pPr>
      <w:r>
        <w:t>Variables Continuas: Dado que la escala de las variables es diferente, se hará un filtro preliminar antes de normalizar eliminando columnas con varianza cero estricto</w:t>
      </w:r>
      <w:r w:rsidR="000F3828">
        <w:t xml:space="preserve"> (</w:t>
      </w:r>
      <m:oMath>
        <m:r>
          <w:rPr>
            <w:rFonts w:ascii="Cambria Math" w:hAnsi="Cambria Math"/>
          </w:rPr>
          <m:t>Var(X)=0)</m:t>
        </m:r>
      </m:oMath>
      <w:r>
        <w:t>.</w:t>
      </w:r>
    </w:p>
    <w:p w14:paraId="6A829C4F" w14:textId="397F4CA6" w:rsidR="00C22091" w:rsidRDefault="00C22091" w:rsidP="00C22091">
      <w:pPr>
        <w:pStyle w:val="Prrafodelista"/>
        <w:numPr>
          <w:ilvl w:val="0"/>
          <w:numId w:val="8"/>
        </w:numPr>
      </w:pPr>
      <w:r>
        <w:t xml:space="preserve">Variables Discretas y Scores: </w:t>
      </w:r>
      <w:r w:rsidR="000F3828">
        <w:t>Dado que la varianza teórica máxima depende del rango de valores permitidos, se eliminará la variable si</w:t>
      </w:r>
      <w:r w:rsidR="000F3828" w:rsidRPr="000F3828">
        <w:t xml:space="preserve"> más del 95%–99% de la población está estancada en una sola categoría (por ejemplo, si el 99% de los clientes tuviera Puntaje F = 1).</w:t>
      </w:r>
    </w:p>
    <w:p w14:paraId="48F611F6" w14:textId="556777BB" w:rsidR="002A7244" w:rsidRDefault="002A7244" w:rsidP="002A7244">
      <w:hyperlink r:id="rId14" w:history="1">
        <w:r w:rsidRPr="00422E13">
          <w:rPr>
            <w:rStyle w:val="Hipervnculo"/>
          </w:rPr>
          <w:t>https://faculty.wharton.upenn.edu/wp-content/uploads/2012/05/Rfm_clv_2005-02-16_accepted.pdf</w:t>
        </w:r>
      </w:hyperlink>
    </w:p>
    <w:p w14:paraId="72ED07CF" w14:textId="08AF4C36" w:rsidR="005572F2" w:rsidRDefault="005572F2" w:rsidP="002A7244">
      <w:hyperlink r:id="rId15" w:history="1">
        <w:r w:rsidRPr="00422E13">
          <w:rPr>
            <w:rStyle w:val="Hipervnculo"/>
          </w:rPr>
          <w:t>http://feature-engine.trainindata.com/en/latest/user_guide/transformation/YeoJohnsonTransformer.html</w:t>
        </w:r>
      </w:hyperlink>
    </w:p>
    <w:p w14:paraId="5116738F" w14:textId="08CE50CE" w:rsidR="002A7244" w:rsidRDefault="00954AAA" w:rsidP="00F211C4">
      <w:pPr>
        <w:rPr>
          <w:rFonts w:eastAsiaTheme="minorEastAsia"/>
        </w:rPr>
      </w:pPr>
      <w:r>
        <w:t xml:space="preserve">Fader &amp; Hardie (2005) demuestran que la distribución del gasto monetario (M) y </w:t>
      </w:r>
      <w:r w:rsidR="00D37E6A">
        <w:t>la frecuencia</w:t>
      </w:r>
      <w:r>
        <w:t xml:space="preserve"> de compra (F) poseen una asimetría derecha que no se ajusta a la distribución normal. Para solucionar esto u otros problemas de asimetría que se encuentren al hacer la evaluación de las variables, usaremos el enfoque aportado por </w:t>
      </w:r>
      <w:r w:rsidRPr="00954AAA">
        <w:t>Medina Lara et al. (2026)</w:t>
      </w:r>
      <w:r>
        <w:t xml:space="preserve"> </w:t>
      </w:r>
      <w:r w:rsidR="00A841EC">
        <w:t>usando log(1+x) y StandardScaler</w:t>
      </w:r>
      <w:r w:rsidR="00CE30DC">
        <w:t xml:space="preserve">, pero únicamente </w:t>
      </w:r>
      <w:r w:rsidR="00A841EC">
        <w:t xml:space="preserve">para variables temporales continuas </w:t>
      </w:r>
      <w:r w:rsidR="00CE30DC">
        <w:t>(</w:t>
      </w:r>
      <w:r w:rsidR="00A841EC">
        <w:t>Recencia o Rango Dias Activo</w:t>
      </w:r>
      <w:r w:rsidR="00CE30DC">
        <w:t>) y para variables monetarias o de volúmenes (Valor_Monetario_Total o Total_Lineas_Compradas). Esta distinción se hace debido a que hay otras variables que no se deben transformar usando Log(1+x), sino únicamente StandardScaler, porque ya están acotadas en el intervalo [0.0, 1.0</w:t>
      </w:r>
      <w:r w:rsidR="008E6E30">
        <w:t>];</w:t>
      </w:r>
      <w:r w:rsidR="00CE30DC">
        <w:t xml:space="preserve"> como el </w:t>
      </w:r>
      <w:r w:rsidR="008E6E30">
        <w:t>Índice</w:t>
      </w:r>
      <w:r w:rsidR="00CE30DC">
        <w:t xml:space="preserve"> IHH o </w:t>
      </w:r>
      <w:r w:rsidR="00CE30DC" w:rsidRPr="00CE30DC">
        <w:t>Amplitud de Portafolio</w:t>
      </w:r>
      <w:r w:rsidR="00CE30DC">
        <w:t xml:space="preserve">, a los cuales aplicarles esta transformación distorsionaría la escala proporcional sin aportar </w:t>
      </w:r>
      <w:r w:rsidR="00D37E6A">
        <w:t>simetría; o</w:t>
      </w:r>
      <w:r w:rsidR="00CE30DC">
        <w:t xml:space="preserve"> directamente ningún tipo de </w:t>
      </w:r>
      <w:r w:rsidR="00D37E6A">
        <w:t>transformación como los Puntajes RFM y variables de Co-compra.</w:t>
      </w:r>
      <w:r w:rsidR="00371E04">
        <w:t xml:space="preserve"> Sin embargo, se recurrirá a Yeo-Johnson en lugar de Log(1+x) si el valor neto de las devoluciones superan las compras de un cliente en una ventana analizada (que para esta base de datos parece no ser el caso nunca, pero sirve para un caso hipotético con una base de datos </w:t>
      </w:r>
      <w:r w:rsidR="008C020A">
        <w:t>más</w:t>
      </w:r>
      <w:r w:rsidR="00371E04">
        <w:t xml:space="preserve"> grande) o si tras aplicar el coeficiente de asimetría (skewness) sobre una variable continua se mantiene por encima de </w:t>
      </w:r>
      <w:r w:rsidR="00371E04" w:rsidRPr="00371E04">
        <w:t>|</w:t>
      </w:r>
      <w:r w:rsidR="00371E04">
        <w:t xml:space="preserve">1.0|, pues esta transformación buscara la potencia </w:t>
      </w:r>
      <m:oMath>
        <m:r>
          <w:rPr>
            <w:rFonts w:ascii="Cambria Math" w:hAnsi="Cambria Math"/>
          </w:rPr>
          <m:t>λ</m:t>
        </m:r>
      </m:oMath>
      <w:r w:rsidR="00371E04">
        <w:rPr>
          <w:rFonts w:eastAsiaTheme="minorEastAsia"/>
        </w:rPr>
        <w:t xml:space="preserve"> optima para forzar la simetría de </w:t>
      </w:r>
      <w:r w:rsidR="00783118">
        <w:rPr>
          <w:rFonts w:eastAsiaTheme="minorEastAsia"/>
        </w:rPr>
        <w:t>una distribución normal.</w:t>
      </w:r>
    </w:p>
    <w:p w14:paraId="7B75FE98" w14:textId="77777777" w:rsidR="002A7244" w:rsidRDefault="002A7244" w:rsidP="002A7244">
      <w:hyperlink r:id="rId16" w:history="1">
        <w:r w:rsidRPr="00422E13">
          <w:rPr>
            <w:rStyle w:val="Hipervnculo"/>
          </w:rPr>
          <w:t>https://repositorio.uniandes.edu.co/server/api/core/bitstreams/abf52bd7-a3d7-4917-9821-35e39107895d/content</w:t>
        </w:r>
      </w:hyperlink>
    </w:p>
    <w:p w14:paraId="7A0FD765" w14:textId="4B6A0248" w:rsidR="00F82346" w:rsidRDefault="00F82346" w:rsidP="00F211C4">
      <w:pPr>
        <w:rPr>
          <w:rFonts w:eastAsiaTheme="minorEastAsia"/>
        </w:rPr>
      </w:pPr>
      <w:r>
        <w:rPr>
          <w:rFonts w:eastAsiaTheme="minorEastAsia"/>
        </w:rPr>
        <w:t>Asimismo, se justifica el uso de la estandarización Z-Score (o StandartScaler) en la metodología usada en el estudio de la Universidad de los Andes, redimensionando las variables numéricas resultantes (</w:t>
      </w:r>
      <m:oMath>
        <m:r>
          <w:rPr>
            <w:rFonts w:ascii="Cambria Math" w:eastAsiaTheme="minorEastAsia" w:hAnsi="Cambria Math"/>
          </w:rPr>
          <m:t>μ=0, σ=1</m:t>
        </m:r>
      </m:oMath>
      <w:r>
        <w:rPr>
          <w:rFonts w:eastAsiaTheme="minorEastAsia"/>
        </w:rPr>
        <w:t>) para asegurar que la dimensión de las variables no afecte su poder explicativo.</w:t>
      </w:r>
    </w:p>
    <w:p w14:paraId="1EEA33FF" w14:textId="2F6A2D56" w:rsidR="00292593" w:rsidRDefault="00292593" w:rsidP="00F211C4">
      <w:pPr>
        <w:rPr>
          <w:rFonts w:eastAsiaTheme="minorEastAsia"/>
        </w:rPr>
      </w:pPr>
      <w:hyperlink r:id="rId17" w:history="1">
        <w:r w:rsidRPr="00AA5FC4">
          <w:rPr>
            <w:rStyle w:val="Hipervnculo"/>
            <w:rFonts w:eastAsiaTheme="minorEastAsia"/>
          </w:rPr>
          <w:t>https://sites.ualberta.ca/~econwps/2022/wp2022-03.pdf</w:t>
        </w:r>
      </w:hyperlink>
    </w:p>
    <w:p w14:paraId="296518A8" w14:textId="64670A86" w:rsidR="00783118" w:rsidRDefault="00292593" w:rsidP="00F211C4">
      <w:pPr>
        <w:rPr>
          <w:rFonts w:eastAsiaTheme="minorEastAsia"/>
        </w:rPr>
      </w:pPr>
      <w:r>
        <w:rPr>
          <w:rFonts w:eastAsiaTheme="minorEastAsia"/>
        </w:rPr>
        <w:t>Inicialmente, como estamos suponiendo que el comportamiento de los ingresos sigue el principio de Pareto,</w:t>
      </w:r>
      <w:r w:rsidR="00D63141">
        <w:rPr>
          <w:rFonts w:eastAsiaTheme="minorEastAsia"/>
        </w:rPr>
        <w:t xml:space="preserve"> seguiremos la metodología del análisis de datos en colas pesadas propuesto por el departamento de economía de la Univerity of Alberta, limitando los valores extremos al percentil 99.5 para evitar que compradores masivos distorsionen los centroides de k-means. Haciendo est</w:t>
      </w:r>
      <w:r w:rsidR="00D45EE9">
        <w:rPr>
          <w:rFonts w:eastAsiaTheme="minorEastAsia"/>
        </w:rPr>
        <w:t xml:space="preserve">e </w:t>
      </w:r>
      <w:r w:rsidR="00D45EE9">
        <w:rPr>
          <w:rFonts w:eastAsiaTheme="minorEastAsia"/>
        </w:rPr>
        <w:lastRenderedPageBreak/>
        <w:t xml:space="preserve">proceso, conocido como Winsorizacion, </w:t>
      </w:r>
      <w:r w:rsidR="00D63141">
        <w:rPr>
          <w:rFonts w:eastAsiaTheme="minorEastAsia"/>
        </w:rPr>
        <w:t xml:space="preserve">lograremos además reducir el impacto de valores atípicos, estabilizando la varianza y manteniendo intacto el número de observaciones, pero pagando el precio de que “La </w:t>
      </w:r>
      <w:r w:rsidR="00D45EE9">
        <w:rPr>
          <w:rFonts w:eastAsiaTheme="minorEastAsia"/>
        </w:rPr>
        <w:t>Winso</w:t>
      </w:r>
      <w:r w:rsidR="00F82346">
        <w:rPr>
          <w:rFonts w:eastAsiaTheme="minorEastAsia"/>
        </w:rPr>
        <w:t>rización</w:t>
      </w:r>
      <w:r w:rsidR="00D63141">
        <w:rPr>
          <w:rFonts w:eastAsiaTheme="minorEastAsia"/>
        </w:rPr>
        <w:t xml:space="preserve"> debilita la magnitud de la señal proporcionada por un atípico, pero retiene su asociación potencial con</w:t>
      </w:r>
      <w:r w:rsidR="00F82346">
        <w:rPr>
          <w:rFonts w:eastAsiaTheme="minorEastAsia"/>
        </w:rPr>
        <w:t xml:space="preserve"> el choque de información” (PAGINA 6)</w:t>
      </w:r>
    </w:p>
    <w:p w14:paraId="05159639" w14:textId="05903B5A" w:rsidR="0095127C" w:rsidRDefault="0095127C" w:rsidP="00F211C4">
      <w:r>
        <w:t xml:space="preserve">El problema de la multicolinealidad no es exclusivamente limitante para la estadística, sino que en k-means provoca distorsión geométrica por sobre-ponderacion, esto se debe a que este algoritmo se basa en la distancia euclidiana para medir la similitud de las observaciones, por lo que, si dos variables están altamente correlacionadas, en la </w:t>
      </w:r>
      <w:r w:rsidR="008C020A">
        <w:t>práctica</w:t>
      </w:r>
      <w:r>
        <w:t xml:space="preserve"> es como si esa observación en el espacio de características tuviese el doble de peso en el cálculo de la distancia.</w:t>
      </w:r>
    </w:p>
    <w:p w14:paraId="35597050" w14:textId="3DCFC75E" w:rsidR="005065D2" w:rsidRDefault="005065D2" w:rsidP="00F211C4">
      <w:hyperlink r:id="rId18" w:history="1">
        <w:r w:rsidRPr="00422E13">
          <w:rPr>
            <w:rStyle w:val="Hipervnculo"/>
          </w:rPr>
          <w:t>https://arxiv.org/html/2607.22285v1</w:t>
        </w:r>
      </w:hyperlink>
    </w:p>
    <w:p w14:paraId="3A8AFFCD" w14:textId="26634172" w:rsidR="00545047" w:rsidRDefault="00D45EE9" w:rsidP="00F211C4">
      <w:r>
        <w:t xml:space="preserve">Diagnosticaremos problemas de multicolinealidad a través de la matriz de </w:t>
      </w:r>
      <w:r w:rsidR="005065D2">
        <w:t xml:space="preserve">una “matriz de correlación hibrida”, utilizando la correlación de Spearman para variables continuas/discretas vs continuas/discretas/binarias, y la correlación de Pearson para variables binaria vs binaria: la cual es equivalente en estos casos al coeficiente phi </w:t>
      </w:r>
      <m:oMath>
        <m:r>
          <w:rPr>
            <w:rFonts w:ascii="Cambria Math" w:hAnsi="Cambria Math"/>
          </w:rPr>
          <m:t>ϕ</m:t>
        </m:r>
      </m:oMath>
      <w:r w:rsidR="005065D2">
        <w:rPr>
          <w:rFonts w:eastAsiaTheme="minorEastAsia"/>
        </w:rPr>
        <w:t>, que es la métrica estándar para medir la asociación entre dos variables binarias</w:t>
      </w:r>
      <w:r w:rsidR="005065D2">
        <w:t xml:space="preserve">. </w:t>
      </w:r>
      <w:r w:rsidR="00E35DCA">
        <w:t>Inicialmente se filtrarán las variables con índice de concentración mayor a 0.9 para evitar</w:t>
      </w:r>
      <w:r w:rsidR="00E35DCA" w:rsidRPr="00E35DCA">
        <w:t xml:space="preserve"> eliminar explícitamente las redundancias matemáticas triviales</w:t>
      </w:r>
      <w:r w:rsidR="00E35DCA">
        <w:t xml:space="preserve"> entre las variables.</w:t>
      </w:r>
    </w:p>
    <w:p w14:paraId="449BFA22" w14:textId="0A5B1F63" w:rsidR="007F35BA" w:rsidRDefault="005065D2" w:rsidP="007F35BA">
      <w:r>
        <w:t xml:space="preserve">Ya creada la matriz inicial, </w:t>
      </w:r>
      <w:r w:rsidR="00545047">
        <w:t xml:space="preserve">se puede presentar un modelo con multicolinealidad multivariada, lo cual puede generar que </w:t>
      </w:r>
      <w:r w:rsidR="00545047" w:rsidRPr="00545047">
        <w:t>la matriz de correlación pued</w:t>
      </w:r>
      <w:r w:rsidR="00545047">
        <w:t>a</w:t>
      </w:r>
      <w:r w:rsidR="00545047" w:rsidRPr="00545047">
        <w:t xml:space="preserve"> mostrar valores bajos</w:t>
      </w:r>
      <w:r w:rsidR="00545047">
        <w:t xml:space="preserve"> mientras el modelo sufre de multicolinealidad oculta.</w:t>
      </w:r>
      <w:r w:rsidR="007F35BA">
        <w:t xml:space="preserve"> </w:t>
      </w:r>
    </w:p>
    <w:p w14:paraId="44592D8D" w14:textId="2F82706E" w:rsidR="00545047" w:rsidRDefault="00545047" w:rsidP="00F211C4">
      <w:pPr>
        <w:rPr>
          <w:rFonts w:eastAsiaTheme="minorEastAsia"/>
        </w:rPr>
      </w:pPr>
      <w:r w:rsidRPr="00545047">
        <w:t>Para estar completamente seguro</w:t>
      </w:r>
      <w:r w:rsidR="00250564">
        <w:t>, no se utilizará directamente el coeficiente de correlación para determinar problemas de multicolinealidad</w:t>
      </w:r>
      <w:r w:rsidRPr="00545047">
        <w:t xml:space="preserve">, </w:t>
      </w:r>
      <w:r w:rsidR="00250564">
        <w:t xml:space="preserve">sino en su lugar se aplicará </w:t>
      </w:r>
      <w:r w:rsidRPr="00545047">
        <w:t>la métrica estándar de la industria</w:t>
      </w:r>
      <w:r>
        <w:t xml:space="preserve"> para modelos grandes con variables binarias o categóricas es el </w:t>
      </w:r>
      <m:oMath>
        <m:r>
          <w:rPr>
            <w:rFonts w:ascii="Cambria Math" w:hAnsi="Cambria Math"/>
          </w:rPr>
          <m:t>GVIF</m:t>
        </m:r>
      </m:oMath>
      <w:r w:rsidR="00250564">
        <w:t xml:space="preserve">. Sin embargo, como esta métrica </w:t>
      </w:r>
      <w:r w:rsidR="00250564" w:rsidRPr="00250564">
        <w:t>ajusta el cálculo según los grados de libertad de cada variable</w:t>
      </w:r>
      <w:r w:rsidR="00250564">
        <w:t>, p</w:t>
      </w:r>
      <w:r w:rsidR="00250564" w:rsidRPr="00250564">
        <w:t>ara poder comparar variables binarias con continuas de forma justa se utiliza la métrica corregida</w:t>
      </w:r>
      <w:r w:rsidR="00250564">
        <w:t xml:space="preserve"> </w:t>
      </w:r>
      <m:oMath>
        <m:sSup>
          <m:sSupPr>
            <m:ctrlPr>
              <w:rPr>
                <w:rFonts w:ascii="Cambria Math" w:hAnsi="Cambria Math"/>
                <w:i/>
              </w:rPr>
            </m:ctrlPr>
          </m:sSupPr>
          <m:e>
            <m:r>
              <w:rPr>
                <w:rFonts w:ascii="Cambria Math" w:hAnsi="Cambria Math"/>
              </w:rPr>
              <m:t>GVIF</m:t>
            </m:r>
          </m:e>
          <m:sup>
            <m:r>
              <w:rPr>
                <w:rFonts w:ascii="Cambria Math" w:hAnsi="Cambria Math"/>
              </w:rPr>
              <m:t>1/(2xdf)</m:t>
            </m:r>
          </m:sup>
        </m:sSup>
      </m:oMath>
      <w:r w:rsidR="00250564">
        <w:rPr>
          <w:rFonts w:eastAsiaTheme="minorEastAsia"/>
        </w:rPr>
        <w:t>, la cual elevaremos al cuadrado con el propósito de seguir las mismas reglas de un VIF normal</w:t>
      </w:r>
      <w:r w:rsidR="007F35BA">
        <w:rPr>
          <w:rFonts w:eastAsiaTheme="minorEastAsia"/>
        </w:rPr>
        <w:t xml:space="preserve"> dado que este ajuste genera equivalencia entre ambas métricas</w:t>
      </w:r>
      <w:r w:rsidR="00250564">
        <w:rPr>
          <w:rFonts w:eastAsiaTheme="minorEastAsia"/>
        </w:rPr>
        <w:t>.</w:t>
      </w:r>
    </w:p>
    <w:p w14:paraId="52CE9E68" w14:textId="5BB84434" w:rsidR="007F35BA" w:rsidRDefault="007F35BA" w:rsidP="00F211C4">
      <w:r>
        <w:t>El proceso de descarte de variables se basará en:</w:t>
      </w:r>
    </w:p>
    <w:p w14:paraId="6C21EBB6" w14:textId="321CFEBE" w:rsidR="00250564" w:rsidRDefault="007F35BA" w:rsidP="007F35BA">
      <w:pPr>
        <w:pStyle w:val="Prrafodelista"/>
        <w:numPr>
          <w:ilvl w:val="0"/>
          <w:numId w:val="8"/>
        </w:numPr>
      </w:pPr>
      <w:r>
        <w:t xml:space="preserve">Calcular el </w:t>
      </w:r>
      <m:oMath>
        <m:r>
          <w:rPr>
            <w:rFonts w:ascii="Cambria Math" w:hAnsi="Cambria Math"/>
          </w:rPr>
          <m:t>GVIF</m:t>
        </m:r>
      </m:oMath>
      <w:r>
        <w:t xml:space="preserve"> para todas las variables en un solo modelo global.</w:t>
      </w:r>
    </w:p>
    <w:p w14:paraId="0EE87E51" w14:textId="302B8C51" w:rsidR="007F35BA" w:rsidRPr="007F35BA" w:rsidRDefault="007F35BA" w:rsidP="007F35BA">
      <w:pPr>
        <w:pStyle w:val="Prrafodelista"/>
        <w:numPr>
          <w:ilvl w:val="0"/>
          <w:numId w:val="8"/>
        </w:numPr>
      </w:pPr>
      <w:r>
        <w:t xml:space="preserve">Identificar la variable con </w:t>
      </w:r>
      <m:oMath>
        <m:sSup>
          <m:sSupPr>
            <m:ctrlPr>
              <w:rPr>
                <w:rFonts w:ascii="Cambria Math" w:eastAsiaTheme="minorEastAsia" w:hAnsi="Cambria Math"/>
                <w:i/>
              </w:rPr>
            </m:ctrlPr>
          </m:sSupPr>
          <m:e>
            <m:sSup>
              <m:sSupPr>
                <m:ctrlPr>
                  <w:rPr>
                    <w:rFonts w:ascii="Cambria Math" w:hAnsi="Cambria Math"/>
                    <w:i/>
                  </w:rPr>
                </m:ctrlPr>
              </m:sSupPr>
              <m:e>
                <m:r>
                  <w:rPr>
                    <w:rFonts w:ascii="Cambria Math" w:hAnsi="Cambria Math"/>
                  </w:rPr>
                  <m:t>(GVIF</m:t>
                </m:r>
              </m:e>
              <m:sup>
                <m:r>
                  <w:rPr>
                    <w:rFonts w:ascii="Cambria Math" w:hAnsi="Cambria Math"/>
                  </w:rPr>
                  <m:t>1/(2xdf)</m:t>
                </m:r>
              </m:sup>
            </m:sSup>
            <m:r>
              <w:rPr>
                <w:rFonts w:ascii="Cambria Math" w:hAnsi="Cambria Math"/>
              </w:rPr>
              <m:t>)</m:t>
            </m:r>
          </m:e>
          <m:sup>
            <m:r>
              <w:rPr>
                <w:rFonts w:ascii="Cambria Math" w:eastAsiaTheme="minorEastAsia" w:hAnsi="Cambria Math"/>
              </w:rPr>
              <m:t>2</m:t>
            </m:r>
          </m:sup>
        </m:sSup>
      </m:oMath>
      <w:r>
        <w:rPr>
          <w:rFonts w:eastAsiaTheme="minorEastAsia"/>
        </w:rPr>
        <w:t xml:space="preserve"> mas alto sea mayor a 5.</w:t>
      </w:r>
    </w:p>
    <w:p w14:paraId="12B394FE" w14:textId="287A6B21" w:rsidR="007F35BA" w:rsidRDefault="007F35BA" w:rsidP="007F35BA">
      <w:pPr>
        <w:pStyle w:val="Prrafodelista"/>
        <w:numPr>
          <w:ilvl w:val="0"/>
          <w:numId w:val="8"/>
        </w:numPr>
      </w:pPr>
      <w:r>
        <w:t xml:space="preserve">En caso de que </w:t>
      </w:r>
      <w:r w:rsidRPr="007F35BA">
        <w:t>dos variables están íntimamente ligadas en el problema</w:t>
      </w:r>
      <w:r>
        <w:t>, se escogerá la que ofrezca mayor interpretabilidad</w:t>
      </w:r>
      <w:r w:rsidR="002A7244">
        <w:t xml:space="preserve"> para el negocio</w:t>
      </w:r>
      <w:r>
        <w:t xml:space="preserve">, o mayor varianza explicada </w:t>
      </w:r>
      <w:r w:rsidR="00F9508D">
        <w:t>(</w:t>
      </w:r>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 xml:space="preserve">) </m:t>
        </m:r>
      </m:oMath>
      <w:r>
        <w:t>como segundo criterio de desempate.</w:t>
      </w:r>
    </w:p>
    <w:p w14:paraId="38742CEE" w14:textId="12B4540B" w:rsidR="007F35BA" w:rsidRDefault="00F9508D" w:rsidP="007F35BA">
      <w:pPr>
        <w:pStyle w:val="Prrafodelista"/>
        <w:numPr>
          <w:ilvl w:val="0"/>
          <w:numId w:val="8"/>
        </w:numPr>
      </w:pPr>
      <w:r>
        <w:t>Eliminar la variable restante del conjunto de datos.</w:t>
      </w:r>
    </w:p>
    <w:p w14:paraId="46270C98" w14:textId="57A91DC3" w:rsidR="00F9508D" w:rsidRPr="00F9508D" w:rsidRDefault="00F9508D" w:rsidP="009B148C">
      <w:pPr>
        <w:rPr>
          <w:rFonts w:eastAsiaTheme="minorEastAsia"/>
        </w:rPr>
      </w:pPr>
      <w:r>
        <w:t xml:space="preserve">Este proceso se repetirá </w:t>
      </w:r>
      <w:r w:rsidRPr="00F9508D">
        <w:t>hasta que ninguna</w:t>
      </w:r>
      <w:r>
        <w:t xml:space="preserve"> variable</w:t>
      </w:r>
      <w:r w:rsidRPr="00F9508D">
        <w:t xml:space="preserve"> supere el umbral</w:t>
      </w:r>
      <w:r>
        <w:t xml:space="preserve"> escogido. La matriz de correlación hibrida previamente calculada servirá para en los casos donde X variable tenga un </w:t>
      </w:r>
      <m:oMath>
        <m:r>
          <w:rPr>
            <w:rFonts w:ascii="Cambria Math" w:hAnsi="Cambria Math"/>
          </w:rPr>
          <m:t>GVIF</m:t>
        </m:r>
      </m:oMath>
      <w:r>
        <w:rPr>
          <w:rFonts w:eastAsiaTheme="minorEastAsia"/>
        </w:rPr>
        <w:t xml:space="preserve"> mayor al umbral escogido, se va a</w:t>
      </w:r>
      <w:r w:rsidRPr="00F9508D">
        <w:rPr>
          <w:rFonts w:eastAsiaTheme="minorEastAsia"/>
        </w:rPr>
        <w:t xml:space="preserve"> mirar la </w:t>
      </w:r>
      <w:r w:rsidRPr="002A7244">
        <w:rPr>
          <w:rFonts w:eastAsiaTheme="minorEastAsia"/>
        </w:rPr>
        <w:t>matriz de correlación híbrida</w:t>
      </w:r>
      <w:r w:rsidRPr="00F9508D">
        <w:rPr>
          <w:rFonts w:eastAsiaTheme="minorEastAsia"/>
        </w:rPr>
        <w:t xml:space="preserve">, puede ir directo a la fila de esa variable y ver si tiene un coeficiente </w:t>
      </w:r>
      <w:r w:rsidR="009B148C">
        <w:rPr>
          <w:rFonts w:eastAsiaTheme="minorEastAsia"/>
        </w:rPr>
        <w:t>mayor a 0.7</w:t>
      </w:r>
      <w:r w:rsidRPr="00F9508D">
        <w:rPr>
          <w:rFonts w:eastAsiaTheme="minorEastAsia"/>
        </w:rPr>
        <w:t xml:space="preserve"> con otra variable específica.</w:t>
      </w:r>
      <w:r w:rsidR="009B148C">
        <w:rPr>
          <w:rFonts w:eastAsiaTheme="minorEastAsia"/>
        </w:rPr>
        <w:t xml:space="preserve"> En ese caso</w:t>
      </w:r>
      <w:r w:rsidR="009B148C">
        <w:rPr>
          <w:rFonts w:eastAsiaTheme="minorEastAsia"/>
          <w:b/>
          <w:bCs/>
        </w:rPr>
        <w:t xml:space="preserve">, </w:t>
      </w:r>
      <w:r w:rsidR="009B148C">
        <w:rPr>
          <w:rFonts w:eastAsiaTheme="minorEastAsia"/>
        </w:rPr>
        <w:t>s</w:t>
      </w:r>
      <w:r w:rsidRPr="00F9508D">
        <w:rPr>
          <w:rFonts w:eastAsiaTheme="minorEastAsia"/>
        </w:rPr>
        <w:t>i descubres que el problema es puramente bivariado (un par de variables idénticas), eliminas una de las dos de inmediato</w:t>
      </w:r>
      <w:r w:rsidR="009B148C">
        <w:rPr>
          <w:rFonts w:eastAsiaTheme="minorEastAsia"/>
        </w:rPr>
        <w:t xml:space="preserve"> con los criterios ya mencionados</w:t>
      </w:r>
      <w:r w:rsidRPr="00F9508D">
        <w:rPr>
          <w:rFonts w:eastAsiaTheme="minorEastAsia"/>
        </w:rPr>
        <w:t>.</w:t>
      </w:r>
    </w:p>
    <w:p w14:paraId="0DEBBF38" w14:textId="2EE26E75" w:rsidR="00F9508D" w:rsidRPr="00777051" w:rsidRDefault="00E35DCA" w:rsidP="00F9508D">
      <w:r w:rsidRPr="00777051">
        <w:lastRenderedPageBreak/>
        <w:t>RESULTADOS HASTA AHORA</w:t>
      </w:r>
    </w:p>
    <w:p w14:paraId="0094C8D9" w14:textId="09BFB3A5" w:rsidR="00E35DCA" w:rsidRDefault="00E35DCA" w:rsidP="00F9508D">
      <w:r w:rsidRPr="00E35DCA">
        <w:t>La depuración redujo la matriz de 42 a 19 variables numéricas ortogonales (junto con las 3 columnas de metadatos: Cliente, RFM Combinado y Negocio Principal), conservando una alta capacidad explicativa y eliminando por completo la colinealidad que habría distorsionado la distancia euclidiana en K-Means.</w:t>
      </w:r>
    </w:p>
    <w:p w14:paraId="5650EA7E" w14:textId="2B525BEC" w:rsidR="00E35DCA" w:rsidRDefault="00E35DCA" w:rsidP="00E35DCA">
      <w:pPr>
        <w:pStyle w:val="Prrafodelista"/>
        <w:numPr>
          <w:ilvl w:val="0"/>
          <w:numId w:val="8"/>
        </w:numPr>
      </w:pPr>
      <w:r>
        <w:t>El filtro de Varianza casi nula elimino la variable Devoluciones y los 3 pares de co-compra con la línea de SERVICIOS dado que estos se presentaron en menos del 1% de la población evaluada.</w:t>
      </w:r>
    </w:p>
    <w:p w14:paraId="4A87F319" w14:textId="6703D0A0" w:rsidR="0029544A" w:rsidRDefault="00E35DCA" w:rsidP="0029544A">
      <w:pPr>
        <w:pStyle w:val="Prrafodelista"/>
        <w:numPr>
          <w:ilvl w:val="0"/>
          <w:numId w:val="8"/>
        </w:numPr>
      </w:pPr>
      <w:r>
        <w:t>Se eliminaron 8 variables (</w:t>
      </w:r>
      <w:r w:rsidRPr="00E35DCA">
        <w:t>'Indice Concentracion PDV', 'Valor_Monetario_Total', 'Recibo Promedio Por Pedido', 'Indice Concentracion Asesor', 'Recencia', 'Rango Dias Activo', 'Indice IHH', 'Frecuencia_Pedidos'</w:t>
      </w:r>
      <w:r>
        <w:t xml:space="preserve">) donde algunas como Valor_Monetario_Total es un casi duplicado con el Puntaje M, al igual que recencia con el Puntaje R, y otras como los índices de concentración son redundantes. Concluyendo que este filtro cumplió el objetivo con el cual se </w:t>
      </w:r>
      <w:r w:rsidR="0029544A">
        <w:t>creó</w:t>
      </w:r>
      <w:r>
        <w:t>, que es</w:t>
      </w:r>
      <w:r w:rsidR="0029544A" w:rsidRPr="0029544A">
        <w:t xml:space="preserve"> </w:t>
      </w:r>
      <w:r w:rsidR="0029544A" w:rsidRPr="00E35DCA">
        <w:t>eliminar explícitamente las redundancias matemáticas triviales</w:t>
      </w:r>
      <w:r w:rsidR="0029544A">
        <w:t xml:space="preserve"> entre las variables.</w:t>
      </w:r>
    </w:p>
    <w:p w14:paraId="3652E3F6" w14:textId="413983E9" w:rsidR="00E35DCA" w:rsidRDefault="0029544A" w:rsidP="00E35DCA">
      <w:pPr>
        <w:pStyle w:val="Prrafodelista"/>
        <w:numPr>
          <w:ilvl w:val="0"/>
          <w:numId w:val="8"/>
        </w:numPr>
      </w:pPr>
      <w:r>
        <w:t>Finalmente, el bucle iterativo usando GVIF e</w:t>
      </w:r>
      <w:r w:rsidRPr="0029544A">
        <w:t>liminó</w:t>
      </w:r>
      <w:r>
        <w:t xml:space="preserve"> 5 variables:</w:t>
      </w:r>
      <w:r w:rsidRPr="0029544A">
        <w:t xml:space="preserve"> la trampa de suma constante en % Gasto REVESTIMIENTOS E INSTALACIÓN y colinealidades multivariadas severas (Total_Lineas_Compradas, Cantidad Negocios Comprados, Puntaje F y Total_Unidades_Fisicas).</w:t>
      </w:r>
    </w:p>
    <w:p w14:paraId="39FF76BB" w14:textId="33D117F2" w:rsidR="00E35DCA" w:rsidRDefault="0029544A" w:rsidP="0029544A">
      <w:r>
        <w:t>El nuevo vector de 19 variables explicativas presenta un equilibrio deseable en 5 ejes estratégicos del negocio:</w:t>
      </w:r>
    </w:p>
    <w:p w14:paraId="101A9F16" w14:textId="20FA9FF6" w:rsidR="0029544A" w:rsidRPr="0029544A" w:rsidRDefault="0029544A" w:rsidP="0029544A">
      <w:pPr>
        <w:pStyle w:val="Prrafodelista"/>
        <w:numPr>
          <w:ilvl w:val="0"/>
          <w:numId w:val="8"/>
        </w:numPr>
      </w:pPr>
      <w:r w:rsidRPr="0029544A">
        <w:t>Eje RFM Base (2): Puntaje R, Puntaje M.</w:t>
      </w:r>
    </w:p>
    <w:p w14:paraId="6855D918" w14:textId="11B0C341" w:rsidR="0029544A" w:rsidRPr="0029544A" w:rsidRDefault="0029544A" w:rsidP="0029544A">
      <w:pPr>
        <w:pStyle w:val="Prrafodelista"/>
        <w:numPr>
          <w:ilvl w:val="0"/>
          <w:numId w:val="8"/>
        </w:numPr>
      </w:pPr>
      <w:r w:rsidRPr="0029544A">
        <w:t>Eje Ritmo y Comportamiento Temporal (4): Dias antiguedad, Intervalo_Promedio_Dias, Items Promedio Por Pedido, Promedio Negocios Por Pedido.</w:t>
      </w:r>
    </w:p>
    <w:p w14:paraId="40766036" w14:textId="51F17B54" w:rsidR="0029544A" w:rsidRPr="0029544A" w:rsidRDefault="0029544A" w:rsidP="0029544A">
      <w:pPr>
        <w:pStyle w:val="Prrafodelista"/>
        <w:numPr>
          <w:ilvl w:val="0"/>
          <w:numId w:val="8"/>
        </w:numPr>
      </w:pPr>
      <w:r w:rsidRPr="0029544A">
        <w:t>Eje Operativo, Red y Canal (3): Municipios_Distintos, Puntos_Venta_Distintos, Asesores_Distintos.</w:t>
      </w:r>
    </w:p>
    <w:p w14:paraId="1855C013" w14:textId="73F7EEE1" w:rsidR="0029544A" w:rsidRPr="0029544A" w:rsidRDefault="0029544A" w:rsidP="0029544A">
      <w:pPr>
        <w:pStyle w:val="Prrafodelista"/>
        <w:numPr>
          <w:ilvl w:val="0"/>
          <w:numId w:val="8"/>
        </w:numPr>
      </w:pPr>
      <w:r w:rsidRPr="0029544A">
        <w:t>Eje Share of Wallet / Categorías (3): % Gasto COCINAS, % Gasto PINTURAS E IMPERMEABILIZANTES, % Gasto BAÑOS.</w:t>
      </w:r>
    </w:p>
    <w:p w14:paraId="2CB6652E" w14:textId="3161BFE6" w:rsidR="0029544A" w:rsidRDefault="0029544A" w:rsidP="0029544A">
      <w:pPr>
        <w:pStyle w:val="Prrafodelista"/>
        <w:numPr>
          <w:ilvl w:val="0"/>
          <w:numId w:val="8"/>
        </w:numPr>
      </w:pPr>
      <w:r w:rsidRPr="0029544A">
        <w:t>Eje Co-Compra Intercategoría (7): 7 combinaciones binarias clave entre las líneas principales de negocio.</w:t>
      </w:r>
    </w:p>
    <w:p w14:paraId="018FEAC1" w14:textId="31F94FCF" w:rsidR="00D97055" w:rsidRPr="0029544A" w:rsidRDefault="00D97055" w:rsidP="00D97055">
      <w:hyperlink r:id="rId19" w:history="1">
        <w:r w:rsidRPr="00422E13">
          <w:rPr>
            <w:rStyle w:val="Hipervnculo"/>
          </w:rPr>
          <w:t>https://repositorio.uniandes.edu.co/server/api/core/bitstreams/abf52bd7-a3d7-4917-9821-35e39107895d/content</w:t>
        </w:r>
      </w:hyperlink>
    </w:p>
    <w:p w14:paraId="7B6CE1AE" w14:textId="6DCF6462" w:rsidR="0029544A" w:rsidRDefault="0029544A" w:rsidP="0029544A">
      <w:r>
        <w:t xml:space="preserve">El siguiente paso es la exploración de la etapa de </w:t>
      </w:r>
      <w:r w:rsidR="00D97055">
        <w:t>cauterización</w:t>
      </w:r>
      <w:r>
        <w:t xml:space="preserve">, con la intención </w:t>
      </w:r>
      <w:r w:rsidR="00D97055">
        <w:t>preliminar; basada</w:t>
      </w:r>
      <w:r>
        <w:t xml:space="preserve"> en el </w:t>
      </w:r>
      <w:r w:rsidR="00D97055">
        <w:t>artículo</w:t>
      </w:r>
      <w:r>
        <w:t xml:space="preserve"> de la Universidad de los Andes; de usar la suma de errores cuadráticos internos (WCSS) </w:t>
      </w:r>
      <w:r w:rsidRPr="0029544A">
        <w:t>para determinar el número óptimo de clústers</w:t>
      </w:r>
      <w:r>
        <w:t xml:space="preserve">, utilizar </w:t>
      </w:r>
      <w:r w:rsidRPr="0029544A">
        <w:t xml:space="preserve">el coeficiente de silueta </w:t>
      </w:r>
      <w:r>
        <w:t>para medir</w:t>
      </w:r>
      <w:r w:rsidRPr="0029544A">
        <w:t xml:space="preserve"> la separación y coherencia de los grupos</w:t>
      </w:r>
      <w:r>
        <w:t xml:space="preserve">, y evaluar la posibilidad de usar fuzzy C-Means en lugar de K-Means. </w:t>
      </w:r>
      <w:r w:rsidR="00777051">
        <w:t>Con los resultados obtenidos en esta etapa ya se espera hacer un profiling inicial de los clientes.</w:t>
      </w:r>
    </w:p>
    <w:p w14:paraId="7FFD91AB" w14:textId="70765E6E" w:rsidR="00777051" w:rsidRPr="00E35DCA" w:rsidRDefault="00777051" w:rsidP="0029544A">
      <w:r>
        <w:t>La implementación de la información de los clusters se espera usar para campañas a proponer en base a los resultados, más que como una variable explicativa del comportamiento del cliente.</w:t>
      </w:r>
    </w:p>
    <w:p w14:paraId="7403770F" w14:textId="77777777" w:rsidR="006549B1" w:rsidRDefault="006549B1" w:rsidP="00F211C4"/>
    <w:p w14:paraId="607BFF1A" w14:textId="77777777" w:rsidR="008E6E30" w:rsidRPr="00C26CFB" w:rsidRDefault="008E6E30" w:rsidP="00F211C4"/>
    <w:p w14:paraId="46EC75DF" w14:textId="1737C7ED" w:rsidR="007654D5" w:rsidRDefault="00273AED" w:rsidP="00F211C4">
      <w:r>
        <w:t>BASES EXTERNAS UTILES</w:t>
      </w:r>
    </w:p>
    <w:p w14:paraId="25814F51" w14:textId="77777777" w:rsidR="00273AED" w:rsidRPr="00273AED" w:rsidRDefault="00273AED" w:rsidP="00273AED">
      <w:pPr>
        <w:rPr>
          <w:b/>
          <w:bCs/>
        </w:rPr>
      </w:pPr>
      <w:r w:rsidRPr="00273AED">
        <w:rPr>
          <w:b/>
          <w:bCs/>
        </w:rPr>
        <w:t>1. Sector Construcción e Inmobiliario (Catalizadores Directos de Demanda)</w:t>
      </w:r>
    </w:p>
    <w:p w14:paraId="6CCC8FAB" w14:textId="660E2DE7" w:rsidR="00273AED" w:rsidRPr="00273AED" w:rsidRDefault="00273AED" w:rsidP="00273AED">
      <w:pPr>
        <w:numPr>
          <w:ilvl w:val="0"/>
          <w:numId w:val="2"/>
        </w:numPr>
      </w:pPr>
      <w:r w:rsidRPr="00273AED">
        <w:rPr>
          <w:b/>
          <w:bCs/>
        </w:rPr>
        <w:t xml:space="preserve">Licencias de Construcción y </w:t>
      </w:r>
      <m:oMath>
        <m:sSup>
          <m:sSupPr>
            <m:ctrlPr>
              <w:rPr>
                <w:rFonts w:ascii="Cambria Math" w:hAnsi="Cambria Math"/>
              </w:rPr>
            </m:ctrlPr>
          </m:sSupPr>
          <m:e>
            <m:r>
              <w:rPr>
                <w:rFonts w:ascii="Cambria Math" w:hAnsi="Cambria Math"/>
              </w:rPr>
              <m:t>m</m:t>
            </m:r>
          </m:e>
          <m:sup>
            <m:r>
              <w:rPr>
                <w:rFonts w:ascii="Cambria Math" w:hAnsi="Cambria Math"/>
              </w:rPr>
              <m:t>2</m:t>
            </m:r>
          </m:sup>
        </m:sSup>
      </m:oMath>
      <w:r w:rsidRPr="00273AED">
        <w:rPr>
          <w:b/>
          <w:bCs/>
        </w:rPr>
        <w:t xml:space="preserve"> Licenciados (DANE):</w:t>
      </w:r>
    </w:p>
    <w:p w14:paraId="7EB08AA1" w14:textId="77777777" w:rsidR="00273AED" w:rsidRPr="00273AED" w:rsidRDefault="00273AED" w:rsidP="00273AED">
      <w:pPr>
        <w:numPr>
          <w:ilvl w:val="1"/>
          <w:numId w:val="2"/>
        </w:numPr>
      </w:pPr>
      <w:r w:rsidRPr="00273AED">
        <w:rPr>
          <w:i/>
          <w:iCs/>
        </w:rPr>
        <w:t>Por qué sirve:</w:t>
      </w:r>
      <w:r w:rsidRPr="00273AED">
        <w:t xml:space="preserve"> Es un indicador adelantado. Las licencias aprobadas hoy se traducen en compras de Revestimientos, Baños y Pinturas dentro de 6 a 18 meses.</w:t>
      </w:r>
    </w:p>
    <w:p w14:paraId="55C337E6" w14:textId="77777777" w:rsidR="00273AED" w:rsidRPr="00273AED" w:rsidRDefault="00273AED" w:rsidP="00273AED">
      <w:pPr>
        <w:numPr>
          <w:ilvl w:val="0"/>
          <w:numId w:val="2"/>
        </w:numPr>
      </w:pPr>
      <w:r w:rsidRPr="00273AED">
        <w:rPr>
          <w:b/>
          <w:bCs/>
        </w:rPr>
        <w:t>Iniciaciones y Entregas de Vivienda VIS y No VIS (Camacol / Coordenada Urbana):</w:t>
      </w:r>
    </w:p>
    <w:p w14:paraId="3D4464AC" w14:textId="77777777" w:rsidR="00273AED" w:rsidRPr="00273AED" w:rsidRDefault="00273AED" w:rsidP="00273AED">
      <w:pPr>
        <w:numPr>
          <w:ilvl w:val="1"/>
          <w:numId w:val="2"/>
        </w:numPr>
      </w:pPr>
      <w:r w:rsidRPr="00273AED">
        <w:rPr>
          <w:i/>
          <w:iCs/>
        </w:rPr>
        <w:t>Por qué sirve:</w:t>
      </w:r>
      <w:r w:rsidRPr="00273AED">
        <w:t xml:space="preserve"> Las entregas de vivienda nueva (sobre todo en obra gris) disparan inmediatamente la compra de pisos, baños y cocinas.</w:t>
      </w:r>
    </w:p>
    <w:p w14:paraId="03D6E677" w14:textId="77777777" w:rsidR="00273AED" w:rsidRPr="00273AED" w:rsidRDefault="00273AED" w:rsidP="00273AED">
      <w:pPr>
        <w:numPr>
          <w:ilvl w:val="0"/>
          <w:numId w:val="2"/>
        </w:numPr>
      </w:pPr>
      <w:r w:rsidRPr="00273AED">
        <w:rPr>
          <w:b/>
          <w:bCs/>
        </w:rPr>
        <w:t>Venta y Traspaso de Vivienda Usada (Superintendencia de Notariado y Registro):</w:t>
      </w:r>
    </w:p>
    <w:p w14:paraId="66541DBF" w14:textId="77777777" w:rsidR="00273AED" w:rsidRPr="00273AED" w:rsidRDefault="00273AED" w:rsidP="00273AED">
      <w:pPr>
        <w:numPr>
          <w:ilvl w:val="1"/>
          <w:numId w:val="2"/>
        </w:numPr>
      </w:pPr>
      <w:r w:rsidRPr="00273AED">
        <w:rPr>
          <w:i/>
          <w:iCs/>
        </w:rPr>
        <w:t>Por qué sirve:</w:t>
      </w:r>
      <w:r w:rsidRPr="00273AED">
        <w:t xml:space="preserve"> La compra de vivienda usada es el mayor disparador de remodelaciones en el segmento de Consumidor Final.</w:t>
      </w:r>
    </w:p>
    <w:p w14:paraId="44062345" w14:textId="77777777" w:rsidR="00273AED" w:rsidRPr="00273AED" w:rsidRDefault="00273AED" w:rsidP="00273AED">
      <w:pPr>
        <w:rPr>
          <w:b/>
          <w:bCs/>
        </w:rPr>
      </w:pPr>
      <w:r w:rsidRPr="00273AED">
        <w:rPr>
          <w:b/>
          <w:bCs/>
        </w:rPr>
        <w:t>2. Capacidad de Financiamiento y Decisión de Consumo</w:t>
      </w:r>
    </w:p>
    <w:p w14:paraId="3A83E3B6" w14:textId="77777777" w:rsidR="00273AED" w:rsidRPr="00273AED" w:rsidRDefault="00273AED" w:rsidP="00273AED">
      <w:pPr>
        <w:numPr>
          <w:ilvl w:val="0"/>
          <w:numId w:val="3"/>
        </w:numPr>
      </w:pPr>
      <w:r w:rsidRPr="00273AED">
        <w:rPr>
          <w:b/>
          <w:bCs/>
        </w:rPr>
        <w:t>Tasas de Interés de Crédito de Consumo e Hipotecario (Banco de la República):</w:t>
      </w:r>
    </w:p>
    <w:p w14:paraId="70C38831" w14:textId="77777777" w:rsidR="00273AED" w:rsidRPr="00273AED" w:rsidRDefault="00273AED" w:rsidP="00273AED">
      <w:pPr>
        <w:numPr>
          <w:ilvl w:val="1"/>
          <w:numId w:val="3"/>
        </w:numPr>
      </w:pPr>
      <w:r w:rsidRPr="00273AED">
        <w:rPr>
          <w:i/>
          <w:iCs/>
        </w:rPr>
        <w:t>Por qué sirve:</w:t>
      </w:r>
      <w:r w:rsidRPr="00273AED">
        <w:t xml:space="preserve"> La remodelación y la compra de acabados de alto valor suelen financiarse con tarjetas de crédito o préstamos de libre inversión. Tasas altas frenan compras de ticket alto.</w:t>
      </w:r>
    </w:p>
    <w:p w14:paraId="184CC028" w14:textId="77777777" w:rsidR="00273AED" w:rsidRPr="00273AED" w:rsidRDefault="00273AED" w:rsidP="00273AED">
      <w:pPr>
        <w:numPr>
          <w:ilvl w:val="0"/>
          <w:numId w:val="3"/>
        </w:numPr>
      </w:pPr>
      <w:r w:rsidRPr="00273AED">
        <w:rPr>
          <w:b/>
          <w:bCs/>
        </w:rPr>
        <w:t>Índice de Confianza del Consumidor - ICC (Fedesarrollo):</w:t>
      </w:r>
    </w:p>
    <w:p w14:paraId="537477DA" w14:textId="77777777" w:rsidR="00273AED" w:rsidRPr="00273AED" w:rsidRDefault="00273AED" w:rsidP="00273AED">
      <w:pPr>
        <w:numPr>
          <w:ilvl w:val="1"/>
          <w:numId w:val="3"/>
        </w:numPr>
      </w:pPr>
      <w:r w:rsidRPr="00273AED">
        <w:rPr>
          <w:i/>
          <w:iCs/>
        </w:rPr>
        <w:t>Por qué sirve:</w:t>
      </w:r>
      <w:r w:rsidRPr="00273AED">
        <w:t xml:space="preserve"> Incluye subíndices específicos como la </w:t>
      </w:r>
      <w:r w:rsidRPr="00273AED">
        <w:rPr>
          <w:b/>
          <w:bCs/>
        </w:rPr>
        <w:t>"Disposición a comprar bienes durables"</w:t>
      </w:r>
      <w:r w:rsidRPr="00273AED">
        <w:t xml:space="preserve"> y </w:t>
      </w:r>
      <w:r w:rsidRPr="00273AED">
        <w:rPr>
          <w:b/>
          <w:bCs/>
        </w:rPr>
        <w:t>"Disposición a comprar vivienda"</w:t>
      </w:r>
      <w:r w:rsidRPr="00273AED">
        <w:t>, los cuales correlacionan directamente con el consumo en tiendas Corona.</w:t>
      </w:r>
    </w:p>
    <w:p w14:paraId="3626BE50" w14:textId="77777777" w:rsidR="00273AED" w:rsidRPr="00273AED" w:rsidRDefault="00273AED" w:rsidP="00273AED">
      <w:pPr>
        <w:numPr>
          <w:ilvl w:val="0"/>
          <w:numId w:val="3"/>
        </w:numPr>
      </w:pPr>
      <w:r w:rsidRPr="00273AED">
        <w:rPr>
          <w:b/>
          <w:bCs/>
        </w:rPr>
        <w:t>Tasa de Desempleo e Ingreso Real de los Hogares (DANE - GEIH):</w:t>
      </w:r>
    </w:p>
    <w:p w14:paraId="075FCDEB" w14:textId="77777777" w:rsidR="00273AED" w:rsidRPr="00273AED" w:rsidRDefault="00273AED" w:rsidP="00273AED">
      <w:pPr>
        <w:numPr>
          <w:ilvl w:val="1"/>
          <w:numId w:val="3"/>
        </w:numPr>
      </w:pPr>
      <w:r w:rsidRPr="00273AED">
        <w:rPr>
          <w:i/>
          <w:iCs/>
        </w:rPr>
        <w:t>Por qué sirve:</w:t>
      </w:r>
      <w:r w:rsidRPr="00273AED">
        <w:t xml:space="preserve"> Explica las variaciones en el gasto en categorías no esenciales (ej. la división de </w:t>
      </w:r>
      <w:r w:rsidRPr="00273AED">
        <w:rPr>
          <w:i/>
          <w:iCs/>
        </w:rPr>
        <w:t>Mesa Servida</w:t>
      </w:r>
      <w:r w:rsidRPr="00273AED">
        <w:t xml:space="preserve"> o remodelaciones estéticas frente a reparaciones urgentes).</w:t>
      </w:r>
    </w:p>
    <w:p w14:paraId="016B7576" w14:textId="77777777" w:rsidR="00273AED" w:rsidRPr="00273AED" w:rsidRDefault="00273AED" w:rsidP="00273AED">
      <w:pPr>
        <w:rPr>
          <w:b/>
          <w:bCs/>
        </w:rPr>
      </w:pPr>
      <w:r w:rsidRPr="00273AED">
        <w:rPr>
          <w:b/>
          <w:bCs/>
        </w:rPr>
        <w:t>3. Indicadores Sectoriales y de Comercio Minorista</w:t>
      </w:r>
    </w:p>
    <w:p w14:paraId="1285CF1E" w14:textId="77777777" w:rsidR="00273AED" w:rsidRPr="00273AED" w:rsidRDefault="00273AED" w:rsidP="00273AED">
      <w:pPr>
        <w:numPr>
          <w:ilvl w:val="0"/>
          <w:numId w:val="4"/>
        </w:numPr>
      </w:pPr>
      <w:r w:rsidRPr="00273AED">
        <w:rPr>
          <w:b/>
          <w:bCs/>
        </w:rPr>
        <w:t>Encuesta Mensual de Comercio Minorista - EMCM (DANE):</w:t>
      </w:r>
    </w:p>
    <w:p w14:paraId="32675B90" w14:textId="77777777" w:rsidR="00273AED" w:rsidRPr="00273AED" w:rsidRDefault="00273AED" w:rsidP="00273AED">
      <w:pPr>
        <w:numPr>
          <w:ilvl w:val="1"/>
          <w:numId w:val="4"/>
        </w:numPr>
      </w:pPr>
      <w:r w:rsidRPr="00273AED">
        <w:rPr>
          <w:i/>
          <w:iCs/>
        </w:rPr>
        <w:t>Por qué sirve:</w:t>
      </w:r>
      <w:r w:rsidRPr="00273AED">
        <w:t xml:space="preserve"> Permite aislar el comportamiento específico de las líneas de </w:t>
      </w:r>
      <w:r w:rsidRPr="00273AED">
        <w:rPr>
          <w:i/>
          <w:iCs/>
        </w:rPr>
        <w:t>"Artículos de ferretería, pinturas y productos de vidrio"</w:t>
      </w:r>
      <w:r w:rsidRPr="00273AED">
        <w:t xml:space="preserve"> o </w:t>
      </w:r>
      <w:r w:rsidRPr="00273AED">
        <w:rPr>
          <w:i/>
          <w:iCs/>
        </w:rPr>
        <w:t>"Electrodomésticos y artículos para el hogar"</w:t>
      </w:r>
      <w:r w:rsidRPr="00273AED">
        <w:t>, comparando el desempeño de Corona frente al resto del mercado.</w:t>
      </w:r>
    </w:p>
    <w:p w14:paraId="423061FD" w14:textId="77777777" w:rsidR="00273AED" w:rsidRPr="00273AED" w:rsidRDefault="00273AED" w:rsidP="00273AED">
      <w:pPr>
        <w:numPr>
          <w:ilvl w:val="0"/>
          <w:numId w:val="4"/>
        </w:numPr>
      </w:pPr>
      <w:r w:rsidRPr="00273AED">
        <w:rPr>
          <w:b/>
          <w:bCs/>
        </w:rPr>
        <w:t>Índice de Costos de la Construcción de Vivienda - ICCV (DANE):</w:t>
      </w:r>
    </w:p>
    <w:p w14:paraId="552C11B8" w14:textId="77777777" w:rsidR="00273AED" w:rsidRPr="00273AED" w:rsidRDefault="00273AED" w:rsidP="00273AED">
      <w:pPr>
        <w:numPr>
          <w:ilvl w:val="1"/>
          <w:numId w:val="4"/>
        </w:numPr>
      </w:pPr>
      <w:r w:rsidRPr="00273AED">
        <w:rPr>
          <w:i/>
          <w:iCs/>
        </w:rPr>
        <w:lastRenderedPageBreak/>
        <w:t>Por qué sirve:</w:t>
      </w:r>
      <w:r w:rsidRPr="00273AED">
        <w:t xml:space="preserve"> Refleja la variación en los costos de los insumos y materiales. Explica si las caídas en volumen se deben a incrementos en los precios de materiales de construcción.</w:t>
      </w:r>
    </w:p>
    <w:p w14:paraId="16B0AA18" w14:textId="77777777" w:rsidR="00273AED" w:rsidRPr="00273AED" w:rsidRDefault="00273AED" w:rsidP="00273AED">
      <w:pPr>
        <w:numPr>
          <w:ilvl w:val="0"/>
          <w:numId w:val="4"/>
        </w:numPr>
      </w:pPr>
      <w:r w:rsidRPr="00273AED">
        <w:rPr>
          <w:b/>
          <w:bCs/>
        </w:rPr>
        <w:t>Tasa de Cambio / TRM (Dólar):</w:t>
      </w:r>
    </w:p>
    <w:p w14:paraId="127A23ED" w14:textId="77777777" w:rsidR="00273AED" w:rsidRPr="00273AED" w:rsidRDefault="00273AED" w:rsidP="00273AED">
      <w:pPr>
        <w:numPr>
          <w:ilvl w:val="1"/>
          <w:numId w:val="4"/>
        </w:numPr>
      </w:pPr>
      <w:r w:rsidRPr="00273AED">
        <w:rPr>
          <w:i/>
          <w:iCs/>
        </w:rPr>
        <w:t>Por qué sirve:</w:t>
      </w:r>
      <w:r w:rsidRPr="00273AED">
        <w:t xml:space="preserve"> Afecta los costos de materias primas importadas y la competitividad de productos locales.</w:t>
      </w:r>
    </w:p>
    <w:p w14:paraId="08CE6D51" w14:textId="77777777" w:rsidR="00273AED" w:rsidRPr="003D5204" w:rsidRDefault="00273AED" w:rsidP="00F211C4"/>
    <w:sectPr w:rsidR="00273AED" w:rsidRPr="003D520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B7B59"/>
    <w:multiLevelType w:val="multilevel"/>
    <w:tmpl w:val="CCCC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6B13B4"/>
    <w:multiLevelType w:val="hybridMultilevel"/>
    <w:tmpl w:val="0D060D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7242BFF"/>
    <w:multiLevelType w:val="multilevel"/>
    <w:tmpl w:val="0F4E6C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E6128E"/>
    <w:multiLevelType w:val="multilevel"/>
    <w:tmpl w:val="208CE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0C23B4"/>
    <w:multiLevelType w:val="hybridMultilevel"/>
    <w:tmpl w:val="E424BD42"/>
    <w:lvl w:ilvl="0" w:tplc="C5D05622">
      <w:numFmt w:val="bullet"/>
      <w:lvlText w:val="-"/>
      <w:lvlJc w:val="left"/>
      <w:pPr>
        <w:ind w:left="720" w:hanging="360"/>
      </w:pPr>
      <w:rPr>
        <w:rFonts w:ascii="Calibri" w:eastAsiaTheme="minorHAnsi" w:hAnsi="Calibri" w:cs="Calibri"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ECA67E8"/>
    <w:multiLevelType w:val="multilevel"/>
    <w:tmpl w:val="EDBA7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73ABD"/>
    <w:multiLevelType w:val="multilevel"/>
    <w:tmpl w:val="6C2A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164F43"/>
    <w:multiLevelType w:val="multilevel"/>
    <w:tmpl w:val="1B284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4B37E0"/>
    <w:multiLevelType w:val="hybridMultilevel"/>
    <w:tmpl w:val="201C3248"/>
    <w:lvl w:ilvl="0" w:tplc="8EE8D886">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471337035">
    <w:abstractNumId w:val="8"/>
  </w:num>
  <w:num w:numId="2" w16cid:durableId="756176560">
    <w:abstractNumId w:val="3"/>
  </w:num>
  <w:num w:numId="3" w16cid:durableId="1564683228">
    <w:abstractNumId w:val="2"/>
  </w:num>
  <w:num w:numId="4" w16cid:durableId="783768232">
    <w:abstractNumId w:val="7"/>
  </w:num>
  <w:num w:numId="5" w16cid:durableId="1661732743">
    <w:abstractNumId w:val="6"/>
  </w:num>
  <w:num w:numId="6" w16cid:durableId="1300383468">
    <w:abstractNumId w:val="5"/>
  </w:num>
  <w:num w:numId="7" w16cid:durableId="2136559532">
    <w:abstractNumId w:val="1"/>
  </w:num>
  <w:num w:numId="8" w16cid:durableId="24991608">
    <w:abstractNumId w:val="4"/>
  </w:num>
  <w:num w:numId="9" w16cid:durableId="1304894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5D02"/>
    <w:rsid w:val="00025A6A"/>
    <w:rsid w:val="0006447D"/>
    <w:rsid w:val="000C1635"/>
    <w:rsid w:val="000C1FC7"/>
    <w:rsid w:val="000E5C18"/>
    <w:rsid w:val="000F3828"/>
    <w:rsid w:val="00151075"/>
    <w:rsid w:val="00157666"/>
    <w:rsid w:val="00167D7B"/>
    <w:rsid w:val="0017264F"/>
    <w:rsid w:val="00223FDE"/>
    <w:rsid w:val="00250564"/>
    <w:rsid w:val="00273AED"/>
    <w:rsid w:val="002826F3"/>
    <w:rsid w:val="00292593"/>
    <w:rsid w:val="0029544A"/>
    <w:rsid w:val="002A7244"/>
    <w:rsid w:val="002E444E"/>
    <w:rsid w:val="002F677A"/>
    <w:rsid w:val="00354C5D"/>
    <w:rsid w:val="00371E04"/>
    <w:rsid w:val="003D5204"/>
    <w:rsid w:val="00413A22"/>
    <w:rsid w:val="00420AF9"/>
    <w:rsid w:val="004704F2"/>
    <w:rsid w:val="004732AB"/>
    <w:rsid w:val="004C20B8"/>
    <w:rsid w:val="005065D2"/>
    <w:rsid w:val="00514C56"/>
    <w:rsid w:val="00545047"/>
    <w:rsid w:val="005476E5"/>
    <w:rsid w:val="005572F2"/>
    <w:rsid w:val="005A031E"/>
    <w:rsid w:val="005B79E1"/>
    <w:rsid w:val="005E2623"/>
    <w:rsid w:val="006549B1"/>
    <w:rsid w:val="006A3447"/>
    <w:rsid w:val="006A441F"/>
    <w:rsid w:val="006C28ED"/>
    <w:rsid w:val="006D426C"/>
    <w:rsid w:val="007654D5"/>
    <w:rsid w:val="00777051"/>
    <w:rsid w:val="00783118"/>
    <w:rsid w:val="007B610A"/>
    <w:rsid w:val="007C0D77"/>
    <w:rsid w:val="007F35BA"/>
    <w:rsid w:val="00813D08"/>
    <w:rsid w:val="0085389E"/>
    <w:rsid w:val="008A2815"/>
    <w:rsid w:val="008C020A"/>
    <w:rsid w:val="008C35E3"/>
    <w:rsid w:val="008E6E30"/>
    <w:rsid w:val="00901052"/>
    <w:rsid w:val="0095127C"/>
    <w:rsid w:val="00954AAA"/>
    <w:rsid w:val="00971B98"/>
    <w:rsid w:val="009B148C"/>
    <w:rsid w:val="009D65A8"/>
    <w:rsid w:val="00A520BB"/>
    <w:rsid w:val="00A76346"/>
    <w:rsid w:val="00A841EC"/>
    <w:rsid w:val="00B235E1"/>
    <w:rsid w:val="00B40B14"/>
    <w:rsid w:val="00B457F7"/>
    <w:rsid w:val="00B6656D"/>
    <w:rsid w:val="00BF0B77"/>
    <w:rsid w:val="00BF53C0"/>
    <w:rsid w:val="00C22091"/>
    <w:rsid w:val="00C26CFB"/>
    <w:rsid w:val="00C76AB4"/>
    <w:rsid w:val="00CE30DC"/>
    <w:rsid w:val="00D0092C"/>
    <w:rsid w:val="00D37E6A"/>
    <w:rsid w:val="00D45EE9"/>
    <w:rsid w:val="00D63141"/>
    <w:rsid w:val="00D659B9"/>
    <w:rsid w:val="00D97055"/>
    <w:rsid w:val="00E35DCA"/>
    <w:rsid w:val="00E7033B"/>
    <w:rsid w:val="00E81453"/>
    <w:rsid w:val="00E818E5"/>
    <w:rsid w:val="00EA7FC8"/>
    <w:rsid w:val="00EB4553"/>
    <w:rsid w:val="00EE78E1"/>
    <w:rsid w:val="00F211C4"/>
    <w:rsid w:val="00F25D02"/>
    <w:rsid w:val="00F629D0"/>
    <w:rsid w:val="00F82346"/>
    <w:rsid w:val="00F9508D"/>
    <w:rsid w:val="00FB2791"/>
    <w:rsid w:val="00FC0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D0919"/>
  <w15:chartTrackingRefBased/>
  <w15:docId w15:val="{385B9247-5021-4FBB-AC70-EA601CA1B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55"/>
  </w:style>
  <w:style w:type="paragraph" w:styleId="Ttulo1">
    <w:name w:val="heading 1"/>
    <w:basedOn w:val="Normal"/>
    <w:next w:val="Normal"/>
    <w:link w:val="Ttulo1Car"/>
    <w:uiPriority w:val="9"/>
    <w:qFormat/>
    <w:rsid w:val="00F25D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25D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25D0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25D0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25D0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25D0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25D0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25D0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25D0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25D0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25D0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25D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25D0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25D0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25D0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25D0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25D0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25D02"/>
    <w:rPr>
      <w:rFonts w:eastAsiaTheme="majorEastAsia" w:cstheme="majorBidi"/>
      <w:color w:val="272727" w:themeColor="text1" w:themeTint="D8"/>
    </w:rPr>
  </w:style>
  <w:style w:type="paragraph" w:styleId="Ttulo">
    <w:name w:val="Title"/>
    <w:basedOn w:val="Normal"/>
    <w:next w:val="Normal"/>
    <w:link w:val="TtuloCar"/>
    <w:uiPriority w:val="10"/>
    <w:qFormat/>
    <w:rsid w:val="00F25D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25D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25D0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25D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25D02"/>
    <w:pPr>
      <w:spacing w:before="160"/>
      <w:jc w:val="center"/>
    </w:pPr>
    <w:rPr>
      <w:i/>
      <w:iCs/>
      <w:color w:val="404040" w:themeColor="text1" w:themeTint="BF"/>
    </w:rPr>
  </w:style>
  <w:style w:type="character" w:customStyle="1" w:styleId="CitaCar">
    <w:name w:val="Cita Car"/>
    <w:basedOn w:val="Fuentedeprrafopredeter"/>
    <w:link w:val="Cita"/>
    <w:uiPriority w:val="29"/>
    <w:rsid w:val="00F25D02"/>
    <w:rPr>
      <w:i/>
      <w:iCs/>
      <w:color w:val="404040" w:themeColor="text1" w:themeTint="BF"/>
    </w:rPr>
  </w:style>
  <w:style w:type="paragraph" w:styleId="Prrafodelista">
    <w:name w:val="List Paragraph"/>
    <w:basedOn w:val="Normal"/>
    <w:uiPriority w:val="34"/>
    <w:qFormat/>
    <w:rsid w:val="00F25D02"/>
    <w:pPr>
      <w:ind w:left="720"/>
      <w:contextualSpacing/>
    </w:pPr>
  </w:style>
  <w:style w:type="character" w:styleId="nfasisintenso">
    <w:name w:val="Intense Emphasis"/>
    <w:basedOn w:val="Fuentedeprrafopredeter"/>
    <w:uiPriority w:val="21"/>
    <w:qFormat/>
    <w:rsid w:val="00F25D02"/>
    <w:rPr>
      <w:i/>
      <w:iCs/>
      <w:color w:val="2F5496" w:themeColor="accent1" w:themeShade="BF"/>
    </w:rPr>
  </w:style>
  <w:style w:type="paragraph" w:styleId="Citadestacada">
    <w:name w:val="Intense Quote"/>
    <w:basedOn w:val="Normal"/>
    <w:next w:val="Normal"/>
    <w:link w:val="CitadestacadaCar"/>
    <w:uiPriority w:val="30"/>
    <w:qFormat/>
    <w:rsid w:val="00F25D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25D02"/>
    <w:rPr>
      <w:i/>
      <w:iCs/>
      <w:color w:val="2F5496" w:themeColor="accent1" w:themeShade="BF"/>
    </w:rPr>
  </w:style>
  <w:style w:type="character" w:styleId="Referenciaintensa">
    <w:name w:val="Intense Reference"/>
    <w:basedOn w:val="Fuentedeprrafopredeter"/>
    <w:uiPriority w:val="32"/>
    <w:qFormat/>
    <w:rsid w:val="00F25D02"/>
    <w:rPr>
      <w:b/>
      <w:bCs/>
      <w:smallCaps/>
      <w:color w:val="2F5496" w:themeColor="accent1" w:themeShade="BF"/>
      <w:spacing w:val="5"/>
    </w:rPr>
  </w:style>
  <w:style w:type="character" w:styleId="Hipervnculo">
    <w:name w:val="Hyperlink"/>
    <w:basedOn w:val="Fuentedeprrafopredeter"/>
    <w:uiPriority w:val="99"/>
    <w:unhideWhenUsed/>
    <w:rsid w:val="002826F3"/>
    <w:rPr>
      <w:color w:val="0563C1" w:themeColor="hyperlink"/>
      <w:u w:val="single"/>
    </w:rPr>
  </w:style>
  <w:style w:type="character" w:styleId="Mencinsinresolver">
    <w:name w:val="Unresolved Mention"/>
    <w:basedOn w:val="Fuentedeprrafopredeter"/>
    <w:uiPriority w:val="99"/>
    <w:semiHidden/>
    <w:unhideWhenUsed/>
    <w:rsid w:val="002826F3"/>
    <w:rPr>
      <w:color w:val="605E5C"/>
      <w:shd w:val="clear" w:color="auto" w:fill="E1DFDD"/>
    </w:rPr>
  </w:style>
  <w:style w:type="character" w:styleId="Hipervnculovisitado">
    <w:name w:val="FollowedHyperlink"/>
    <w:basedOn w:val="Fuentedeprrafopredeter"/>
    <w:uiPriority w:val="99"/>
    <w:semiHidden/>
    <w:unhideWhenUsed/>
    <w:rsid w:val="007654D5"/>
    <w:rPr>
      <w:color w:val="954F72" w:themeColor="followedHyperlink"/>
      <w:u w:val="single"/>
    </w:rPr>
  </w:style>
  <w:style w:type="character" w:styleId="Textodelmarcadordeposicin">
    <w:name w:val="Placeholder Text"/>
    <w:basedOn w:val="Fuentedeprrafopredeter"/>
    <w:uiPriority w:val="99"/>
    <w:semiHidden/>
    <w:rsid w:val="00273A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positorio.uchile.cl/bitstream/handle/2250/117075/cffritis_nc.pdf?sequence=1" TargetMode="External"/><Relationship Id="rId13" Type="http://schemas.openxmlformats.org/officeDocument/2006/relationships/hyperlink" Target="https://arxiv.org/pdf/1603.02754" TargetMode="External"/><Relationship Id="rId18" Type="http://schemas.openxmlformats.org/officeDocument/2006/relationships/hyperlink" Target="https://arxiv.org/html/2607.22285v1"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repository.upenn.edu/server/api/core/bitstreams/30cc31cc-5fe7-4f3c-b243-9e284d78a1a1/content" TargetMode="External"/><Relationship Id="rId17" Type="http://schemas.openxmlformats.org/officeDocument/2006/relationships/hyperlink" Target="https://sites.ualberta.ca/~econwps/2022/wp2022-03.pdf" TargetMode="External"/><Relationship Id="rId2" Type="http://schemas.openxmlformats.org/officeDocument/2006/relationships/styles" Target="styles.xml"/><Relationship Id="rId16" Type="http://schemas.openxmlformats.org/officeDocument/2006/relationships/hyperlink" Target="https://repositorio.uniandes.edu.co/server/api/core/bitstreams/abf52bd7-a3d7-4917-9821-35e39107895d/conte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repositorio.uniandes.edu.co/server/api/core/bitstreams/abf52bd7-a3d7-4917-9821-35e39107895d/content" TargetMode="External"/><Relationship Id="rId11" Type="http://schemas.openxmlformats.org/officeDocument/2006/relationships/hyperlink" Target="https://faculty.wharton.upenn.edu/wp-content/uploads/2012/05/Rfm_clv_2005-02-16_accepted.pdf" TargetMode="External"/><Relationship Id="rId5" Type="http://schemas.openxmlformats.org/officeDocument/2006/relationships/hyperlink" Target="https://www.ibm.com/docs/es/spss-statistics/32.0.0?topic=analysis-rfm-scores-from-transaction-data" TargetMode="External"/><Relationship Id="rId15" Type="http://schemas.openxmlformats.org/officeDocument/2006/relationships/hyperlink" Target="http://feature-engine.trainindata.com/en/latest/user_guide/transformation/YeoJohnsonTransformer.html" TargetMode="External"/><Relationship Id="rId10" Type="http://schemas.openxmlformats.org/officeDocument/2006/relationships/hyperlink" Target="https://www.mastercard.com/content/mccom/eu/mt/en/news-and-trends/Insights/2024/what-share-wallet-sow.html" TargetMode="External"/><Relationship Id="rId19" Type="http://schemas.openxmlformats.org/officeDocument/2006/relationships/hyperlink" Target="https://repositorio.uniandes.edu.co/server/api/core/bitstreams/abf52bd7-a3d7-4917-9821-35e39107895d/content" TargetMode="External"/><Relationship Id="rId4" Type="http://schemas.openxmlformats.org/officeDocument/2006/relationships/webSettings" Target="webSettings.xml"/><Relationship Id="rId9" Type="http://schemas.openxmlformats.org/officeDocument/2006/relationships/hyperlink" Target="https://www.bcg.com/publications/2025/market-performance-focus-beats-diversification" TargetMode="External"/><Relationship Id="rId14" Type="http://schemas.openxmlformats.org/officeDocument/2006/relationships/hyperlink" Target="https://faculty.wharton.upenn.edu/wp-content/uploads/2012/05/Rfm_clv_2005-02-16_accepte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8637</TotalTime>
  <Pages>11</Pages>
  <Words>4550</Words>
  <Characters>25030</Characters>
  <Application>Microsoft Office Word</Application>
  <DocSecurity>0</DocSecurity>
  <Lines>208</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 C</dc:creator>
  <cp:keywords/>
  <dc:description/>
  <cp:lastModifiedBy>F C</cp:lastModifiedBy>
  <cp:revision>9</cp:revision>
  <dcterms:created xsi:type="dcterms:W3CDTF">2026-09-22T18:03:00Z</dcterms:created>
  <dcterms:modified xsi:type="dcterms:W3CDTF">2026-10-16T04:32:00Z</dcterms:modified>
</cp:coreProperties>
</file>