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0647" w14:textId="77777777" w:rsidR="006C7222" w:rsidRPr="006F4D4C" w:rsidRDefault="006C7222" w:rsidP="006C7222">
      <w:pPr>
        <w:spacing w:before="160" w:after="80" w:line="276" w:lineRule="auto"/>
        <w:jc w:val="center"/>
        <w:rPr>
          <w:rFonts w:ascii="Arial" w:eastAsia="Calibri" w:hAnsi="Arial" w:cs="Arial"/>
          <w:color w:val="0F4761" w:themeColor="accent1" w:themeShade="BF"/>
        </w:rPr>
      </w:pPr>
      <w:r w:rsidRPr="006F4D4C">
        <w:rPr>
          <w:rFonts w:ascii="Arial" w:hAnsi="Arial" w:cs="Arial"/>
          <w:noProof/>
        </w:rPr>
        <w:drawing>
          <wp:inline distT="0" distB="0" distL="0" distR="0" wp14:anchorId="3B95331D" wp14:editId="65D6AC56">
            <wp:extent cx="5372100" cy="2247900"/>
            <wp:effectExtent l="0" t="0" r="0" b="0"/>
            <wp:docPr id="2105739787" name="drawing" title="A logo with a red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39787" name="Picture 2105739787"/>
                    <pic:cNvPicPr/>
                  </pic:nvPicPr>
                  <pic:blipFill>
                    <a:blip r:embed="rId8">
                      <a:extLst>
                        <a:ext uri="{28A0092B-C50C-407E-A947-70E740481C1C}">
                          <a14:useLocalDpi xmlns:a14="http://schemas.microsoft.com/office/drawing/2010/main"/>
                        </a:ext>
                      </a:extLst>
                    </a:blip>
                    <a:stretch>
                      <a:fillRect/>
                    </a:stretch>
                  </pic:blipFill>
                  <pic:spPr>
                    <a:xfrm>
                      <a:off x="0" y="0"/>
                      <a:ext cx="5372100" cy="2247900"/>
                    </a:xfrm>
                    <a:prstGeom prst="rect">
                      <a:avLst/>
                    </a:prstGeom>
                  </pic:spPr>
                </pic:pic>
              </a:graphicData>
            </a:graphic>
          </wp:inline>
        </w:drawing>
      </w:r>
    </w:p>
    <w:p w14:paraId="6C299F44" w14:textId="77777777" w:rsidR="006C7222" w:rsidRPr="006F4D4C" w:rsidRDefault="006C7222" w:rsidP="006C7222">
      <w:pPr>
        <w:spacing w:after="0" w:line="276" w:lineRule="auto"/>
        <w:rPr>
          <w:rFonts w:ascii="Arial" w:eastAsia="Calibri" w:hAnsi="Arial" w:cs="Arial"/>
          <w:color w:val="000000" w:themeColor="text1"/>
        </w:rPr>
      </w:pPr>
    </w:p>
    <w:p w14:paraId="13CFECDD" w14:textId="31F0618E" w:rsidR="006C7222" w:rsidRPr="006F4D4C" w:rsidRDefault="006C7222" w:rsidP="006C7222">
      <w:pPr>
        <w:pStyle w:val="Title"/>
        <w:jc w:val="center"/>
        <w:rPr>
          <w:rFonts w:ascii="Arial" w:hAnsi="Arial" w:cs="Arial"/>
          <w:sz w:val="48"/>
          <w:szCs w:val="48"/>
        </w:rPr>
      </w:pPr>
      <w:r w:rsidRPr="006F4D4C">
        <w:rPr>
          <w:rFonts w:ascii="Arial" w:eastAsia="Aptos Display" w:hAnsi="Arial" w:cs="Arial"/>
          <w:b/>
          <w:bCs/>
          <w:color w:val="000000" w:themeColor="text1"/>
          <w:sz w:val="48"/>
          <w:szCs w:val="48"/>
          <w:lang w:val="en-US"/>
        </w:rPr>
        <w:t>Canada Vapes Sales Growth and AOV Strategy</w:t>
      </w:r>
    </w:p>
    <w:p w14:paraId="2ABEA930" w14:textId="01D4CB43" w:rsidR="006C7222" w:rsidRPr="006F4D4C" w:rsidRDefault="006C7222" w:rsidP="006C7222">
      <w:pPr>
        <w:pStyle w:val="Heading2"/>
        <w:keepNext w:val="0"/>
        <w:keepLines w:val="0"/>
        <w:spacing w:before="280" w:line="276" w:lineRule="auto"/>
        <w:jc w:val="center"/>
        <w:rPr>
          <w:rFonts w:ascii="Arial" w:eastAsia="Calibri" w:hAnsi="Arial" w:cs="Arial"/>
          <w:color w:val="000000" w:themeColor="text1"/>
          <w:sz w:val="72"/>
          <w:szCs w:val="72"/>
        </w:rPr>
      </w:pPr>
      <w:bookmarkStart w:id="0" w:name="_Toc236853412"/>
      <w:r w:rsidRPr="006F4D4C">
        <w:rPr>
          <w:rFonts w:ascii="Arial" w:eastAsia="Calibri" w:hAnsi="Arial" w:cs="Arial"/>
          <w:color w:val="000000" w:themeColor="text1"/>
          <w:sz w:val="72"/>
          <w:szCs w:val="72"/>
          <w:lang w:val="en"/>
        </w:rPr>
        <w:t>Final Report</w:t>
      </w:r>
      <w:bookmarkEnd w:id="0"/>
    </w:p>
    <w:p w14:paraId="6F6D542D" w14:textId="77777777" w:rsidR="006C7222" w:rsidRPr="006F4D4C" w:rsidRDefault="006C7222" w:rsidP="006C7222">
      <w:pPr>
        <w:spacing w:before="240" w:after="240" w:line="276" w:lineRule="auto"/>
        <w:jc w:val="center"/>
        <w:rPr>
          <w:rFonts w:ascii="Arial" w:eastAsia="Calibri" w:hAnsi="Arial" w:cs="Arial"/>
          <w:color w:val="000000" w:themeColor="text1"/>
          <w:sz w:val="32"/>
          <w:szCs w:val="32"/>
        </w:rPr>
      </w:pPr>
      <w:r w:rsidRPr="006F4D4C">
        <w:rPr>
          <w:rFonts w:ascii="Arial" w:eastAsia="Calibri" w:hAnsi="Arial" w:cs="Arial"/>
          <w:b/>
          <w:bCs/>
          <w:color w:val="000000" w:themeColor="text1"/>
          <w:sz w:val="32"/>
          <w:szCs w:val="32"/>
          <w:lang w:val="en"/>
        </w:rPr>
        <w:t>Course Code:</w:t>
      </w:r>
      <w:r w:rsidRPr="006F4D4C">
        <w:rPr>
          <w:rFonts w:ascii="Arial" w:eastAsia="Calibri" w:hAnsi="Arial" w:cs="Arial"/>
          <w:color w:val="000000" w:themeColor="text1"/>
          <w:sz w:val="32"/>
          <w:szCs w:val="32"/>
          <w:lang w:val="en"/>
        </w:rPr>
        <w:t xml:space="preserve"> MGMT 6219</w:t>
      </w:r>
    </w:p>
    <w:tbl>
      <w:tblPr>
        <w:tblW w:w="0" w:type="auto"/>
        <w:tblBorders>
          <w:top w:val="single" w:sz="6" w:space="0" w:color="auto"/>
          <w:left w:val="single" w:sz="6" w:space="0" w:color="auto"/>
          <w:bottom w:val="single" w:sz="6" w:space="0" w:color="auto"/>
          <w:right w:val="single" w:sz="6" w:space="0" w:color="auto"/>
        </w:tblBorders>
        <w:tblLook w:val="0600" w:firstRow="0" w:lastRow="0" w:firstColumn="0" w:lastColumn="0" w:noHBand="1" w:noVBand="1"/>
      </w:tblPr>
      <w:tblGrid>
        <w:gridCol w:w="4762"/>
        <w:gridCol w:w="4582"/>
      </w:tblGrid>
      <w:tr w:rsidR="006C7222" w:rsidRPr="006F4D4C" w14:paraId="0CC648D3" w14:textId="77777777" w:rsidTr="00175D3D">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4335F6"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Name</w:t>
            </w:r>
          </w:p>
        </w:tc>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7A02B2"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Student ID</w:t>
            </w:r>
          </w:p>
        </w:tc>
      </w:tr>
      <w:tr w:rsidR="006C7222" w:rsidRPr="006F4D4C" w14:paraId="1CDB0CA1" w14:textId="77777777" w:rsidTr="00175D3D">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E4782E" w14:textId="77777777" w:rsidR="006C7222" w:rsidRPr="006F4D4C" w:rsidRDefault="006C7222" w:rsidP="00175D3D">
            <w:pPr>
              <w:widowControl w:val="0"/>
              <w:spacing w:after="0" w:line="240" w:lineRule="auto"/>
              <w:rPr>
                <w:rFonts w:ascii="Arial" w:eastAsia="Calibri" w:hAnsi="Arial" w:cs="Arial"/>
                <w:sz w:val="32"/>
                <w:szCs w:val="32"/>
              </w:rPr>
            </w:pPr>
            <w:proofErr w:type="spellStart"/>
            <w:r w:rsidRPr="006F4D4C">
              <w:rPr>
                <w:rFonts w:ascii="Arial" w:eastAsia="Calibri" w:hAnsi="Arial" w:cs="Arial"/>
                <w:sz w:val="32"/>
                <w:szCs w:val="32"/>
                <w:lang w:val="en"/>
              </w:rPr>
              <w:t>Absasiaka</w:t>
            </w:r>
            <w:proofErr w:type="spellEnd"/>
            <w:r w:rsidRPr="006F4D4C">
              <w:rPr>
                <w:rFonts w:ascii="Arial" w:eastAsia="Calibri" w:hAnsi="Arial" w:cs="Arial"/>
                <w:sz w:val="32"/>
                <w:szCs w:val="32"/>
                <w:lang w:val="en"/>
              </w:rPr>
              <w:t xml:space="preserve"> </w:t>
            </w:r>
            <w:proofErr w:type="spellStart"/>
            <w:r w:rsidRPr="006F4D4C">
              <w:rPr>
                <w:rFonts w:ascii="Arial" w:eastAsia="Calibri" w:hAnsi="Arial" w:cs="Arial"/>
                <w:sz w:val="32"/>
                <w:szCs w:val="32"/>
                <w:lang w:val="en"/>
              </w:rPr>
              <w:t>Anwanakak</w:t>
            </w:r>
            <w:proofErr w:type="spellEnd"/>
          </w:p>
        </w:tc>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E35906"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1208151</w:t>
            </w:r>
          </w:p>
        </w:tc>
      </w:tr>
      <w:tr w:rsidR="006C7222" w:rsidRPr="006F4D4C" w14:paraId="2C9C75FD" w14:textId="77777777" w:rsidTr="00175D3D">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8040FA"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Gift Oyugi</w:t>
            </w:r>
          </w:p>
        </w:tc>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496B0C"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1349890</w:t>
            </w:r>
          </w:p>
        </w:tc>
      </w:tr>
      <w:tr w:rsidR="006C7222" w:rsidRPr="006F4D4C" w14:paraId="0CD11470" w14:textId="77777777" w:rsidTr="00175D3D">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674175"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US"/>
              </w:rPr>
              <w:t xml:space="preserve">Damian </w:t>
            </w:r>
            <w:proofErr w:type="spellStart"/>
            <w:r w:rsidRPr="006F4D4C">
              <w:rPr>
                <w:rFonts w:ascii="Arial" w:eastAsia="Calibri" w:hAnsi="Arial" w:cs="Arial"/>
                <w:sz w:val="32"/>
                <w:szCs w:val="32"/>
                <w:lang w:val="en-US"/>
              </w:rPr>
              <w:t>Okelue</w:t>
            </w:r>
            <w:proofErr w:type="spellEnd"/>
          </w:p>
        </w:tc>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946D11C"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1298980</w:t>
            </w:r>
          </w:p>
        </w:tc>
      </w:tr>
      <w:tr w:rsidR="006C7222" w:rsidRPr="006F4D4C" w14:paraId="71601ADE" w14:textId="77777777" w:rsidTr="00175D3D">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09CA6E"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Sahil Kamane</w:t>
            </w:r>
          </w:p>
        </w:tc>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A7AB37"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1273968</w:t>
            </w:r>
          </w:p>
        </w:tc>
      </w:tr>
      <w:tr w:rsidR="006C7222" w:rsidRPr="006F4D4C" w14:paraId="70CA61F0" w14:textId="77777777" w:rsidTr="00175D3D">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F3B834"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Busayo Adebayo</w:t>
            </w:r>
          </w:p>
        </w:tc>
        <w:tc>
          <w:tcPr>
            <w:tcW w:w="45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EE589D" w14:textId="77777777" w:rsidR="006C7222" w:rsidRPr="006F4D4C" w:rsidRDefault="006C7222" w:rsidP="00175D3D">
            <w:pPr>
              <w:widowControl w:val="0"/>
              <w:spacing w:after="0" w:line="240" w:lineRule="auto"/>
              <w:rPr>
                <w:rFonts w:ascii="Arial" w:eastAsia="Calibri" w:hAnsi="Arial" w:cs="Arial"/>
                <w:sz w:val="32"/>
                <w:szCs w:val="32"/>
              </w:rPr>
            </w:pPr>
            <w:r w:rsidRPr="006F4D4C">
              <w:rPr>
                <w:rFonts w:ascii="Arial" w:eastAsia="Calibri" w:hAnsi="Arial" w:cs="Arial"/>
                <w:sz w:val="32"/>
                <w:szCs w:val="32"/>
                <w:lang w:val="en"/>
              </w:rPr>
              <w:t>1233210</w:t>
            </w:r>
          </w:p>
        </w:tc>
      </w:tr>
    </w:tbl>
    <w:p w14:paraId="1F1C2B67" w14:textId="77777777" w:rsidR="006C7222" w:rsidRPr="006F4D4C" w:rsidRDefault="006C7222" w:rsidP="006C7222">
      <w:pPr>
        <w:spacing w:before="240" w:after="240" w:line="276" w:lineRule="auto"/>
        <w:jc w:val="center"/>
        <w:rPr>
          <w:rFonts w:ascii="Arial" w:eastAsia="Calibri" w:hAnsi="Arial" w:cs="Arial"/>
          <w:color w:val="000000" w:themeColor="text1"/>
          <w:sz w:val="32"/>
          <w:szCs w:val="32"/>
        </w:rPr>
      </w:pPr>
    </w:p>
    <w:p w14:paraId="16B9C199" w14:textId="77777777" w:rsidR="006C7222" w:rsidRPr="006F4D4C" w:rsidRDefault="006C7222" w:rsidP="006C7222">
      <w:pPr>
        <w:spacing w:before="240" w:after="240" w:line="276" w:lineRule="auto"/>
        <w:jc w:val="center"/>
        <w:rPr>
          <w:rFonts w:ascii="Arial" w:eastAsia="Calibri" w:hAnsi="Arial" w:cs="Arial"/>
          <w:color w:val="000000" w:themeColor="text1"/>
          <w:sz w:val="32"/>
          <w:szCs w:val="32"/>
        </w:rPr>
      </w:pPr>
      <w:r w:rsidRPr="006F4D4C">
        <w:rPr>
          <w:rFonts w:ascii="Arial" w:eastAsia="Calibri" w:hAnsi="Arial" w:cs="Arial"/>
          <w:b/>
          <w:bCs/>
          <w:color w:val="000000" w:themeColor="text1"/>
          <w:sz w:val="32"/>
          <w:szCs w:val="32"/>
          <w:lang w:val="en"/>
        </w:rPr>
        <w:t>Institution:</w:t>
      </w:r>
      <w:r w:rsidRPr="006F4D4C">
        <w:rPr>
          <w:rFonts w:ascii="Arial" w:eastAsia="Calibri" w:hAnsi="Arial" w:cs="Arial"/>
          <w:color w:val="000000" w:themeColor="text1"/>
          <w:sz w:val="32"/>
          <w:szCs w:val="32"/>
          <w:lang w:val="en"/>
        </w:rPr>
        <w:t xml:space="preserve"> Fanshawe College</w:t>
      </w:r>
    </w:p>
    <w:p w14:paraId="6F44C061" w14:textId="4B317880" w:rsidR="006C7222" w:rsidRPr="006F4D4C" w:rsidRDefault="006C7222" w:rsidP="006C7222">
      <w:pPr>
        <w:spacing w:before="240" w:after="240" w:line="276" w:lineRule="auto"/>
        <w:jc w:val="center"/>
        <w:rPr>
          <w:rFonts w:ascii="Arial" w:eastAsia="Calibri" w:hAnsi="Arial" w:cs="Arial"/>
          <w:color w:val="000000" w:themeColor="text1"/>
          <w:sz w:val="32"/>
          <w:szCs w:val="32"/>
        </w:rPr>
      </w:pPr>
      <w:r w:rsidRPr="006F4D4C">
        <w:rPr>
          <w:rFonts w:ascii="Arial" w:eastAsia="Calibri" w:hAnsi="Arial" w:cs="Arial"/>
          <w:b/>
          <w:bCs/>
          <w:color w:val="000000" w:themeColor="text1"/>
          <w:sz w:val="32"/>
          <w:szCs w:val="32"/>
          <w:lang w:val="en"/>
        </w:rPr>
        <w:t>Date:</w:t>
      </w:r>
      <w:r w:rsidRPr="006F4D4C">
        <w:rPr>
          <w:rFonts w:ascii="Arial" w:eastAsia="Calibri" w:hAnsi="Arial" w:cs="Arial"/>
          <w:color w:val="000000" w:themeColor="text1"/>
          <w:sz w:val="32"/>
          <w:szCs w:val="32"/>
          <w:lang w:val="en"/>
        </w:rPr>
        <w:t xml:space="preserve"> </w:t>
      </w:r>
      <w:r w:rsidRPr="006F4D4C">
        <w:rPr>
          <w:rFonts w:ascii="Arial" w:eastAsia="Calibri" w:hAnsi="Arial" w:cs="Arial"/>
          <w:color w:val="000000" w:themeColor="text1"/>
          <w:sz w:val="32"/>
          <w:szCs w:val="32"/>
          <w:lang w:val="en"/>
        </w:rPr>
        <w:t>August</w:t>
      </w:r>
      <w:r w:rsidRPr="006F4D4C">
        <w:rPr>
          <w:rFonts w:ascii="Arial" w:eastAsia="Calibri" w:hAnsi="Arial" w:cs="Arial"/>
          <w:color w:val="000000" w:themeColor="text1"/>
          <w:sz w:val="32"/>
          <w:szCs w:val="32"/>
          <w:lang w:val="en"/>
        </w:rPr>
        <w:t xml:space="preserve"> </w:t>
      </w:r>
      <w:r w:rsidRPr="006F4D4C">
        <w:rPr>
          <w:rFonts w:ascii="Arial" w:eastAsia="Calibri" w:hAnsi="Arial" w:cs="Arial"/>
          <w:color w:val="000000" w:themeColor="text1"/>
          <w:sz w:val="32"/>
          <w:szCs w:val="32"/>
          <w:lang w:val="en"/>
        </w:rPr>
        <w:t>05</w:t>
      </w:r>
      <w:r w:rsidRPr="006F4D4C">
        <w:rPr>
          <w:rFonts w:ascii="Arial" w:eastAsia="Calibri" w:hAnsi="Arial" w:cs="Arial"/>
          <w:color w:val="000000" w:themeColor="text1"/>
          <w:sz w:val="32"/>
          <w:szCs w:val="32"/>
          <w:lang w:val="en"/>
        </w:rPr>
        <w:t>, 2026</w:t>
      </w:r>
    </w:p>
    <w:sdt>
      <w:sdtPr>
        <w:id w:val="1927231244"/>
        <w:docPartObj>
          <w:docPartGallery w:val="Table of Contents"/>
          <w:docPartUnique/>
        </w:docPartObj>
      </w:sdtPr>
      <w:sdtEndPr>
        <w:rPr>
          <w:rFonts w:asciiTheme="minorHAnsi" w:eastAsiaTheme="minorEastAsia" w:hAnsiTheme="minorHAnsi" w:cstheme="minorBidi"/>
          <w:noProof/>
          <w:color w:val="auto"/>
          <w:sz w:val="24"/>
          <w:szCs w:val="24"/>
          <w:lang w:val="en-GB" w:eastAsia="ja-JP"/>
        </w:rPr>
      </w:sdtEndPr>
      <w:sdtContent>
        <w:p w14:paraId="4068C629" w14:textId="05FF97D2" w:rsidR="001C3067" w:rsidRDefault="001C3067">
          <w:pPr>
            <w:pStyle w:val="TOCHeading"/>
          </w:pPr>
          <w:r>
            <w:t>Table of Contents</w:t>
          </w:r>
        </w:p>
        <w:p w14:paraId="0A623835" w14:textId="3AF5590A" w:rsidR="00753FE5" w:rsidRDefault="001C3067">
          <w:pPr>
            <w:pStyle w:val="TOC2"/>
            <w:tabs>
              <w:tab w:val="right" w:leader="dot" w:pos="9350"/>
            </w:tabs>
            <w:rPr>
              <w:b w:val="0"/>
              <w:bCs w:val="0"/>
              <w:noProof/>
              <w:kern w:val="2"/>
              <w:sz w:val="24"/>
              <w:szCs w:val="24"/>
              <w:lang w:val="en-CA" w:eastAsia="en-US"/>
              <w14:ligatures w14:val="standardContextual"/>
            </w:rPr>
          </w:pPr>
          <w:r>
            <w:rPr>
              <w:b w:val="0"/>
              <w:bCs w:val="0"/>
            </w:rPr>
            <w:fldChar w:fldCharType="begin"/>
          </w:r>
          <w:r>
            <w:instrText xml:space="preserve"> TOC \o "1-3" \h \z \u </w:instrText>
          </w:r>
          <w:r>
            <w:rPr>
              <w:b w:val="0"/>
              <w:bCs w:val="0"/>
            </w:rPr>
            <w:fldChar w:fldCharType="separate"/>
          </w:r>
          <w:hyperlink w:anchor="_Toc236853412" w:history="1">
            <w:r w:rsidR="00753FE5" w:rsidRPr="00D56D10">
              <w:rPr>
                <w:rStyle w:val="Hyperlink"/>
                <w:rFonts w:ascii="Arial" w:eastAsia="Calibri" w:hAnsi="Arial" w:cs="Arial"/>
                <w:noProof/>
                <w:lang w:val="en"/>
              </w:rPr>
              <w:t>Final Report</w:t>
            </w:r>
            <w:r w:rsidR="00753FE5">
              <w:rPr>
                <w:noProof/>
                <w:webHidden/>
              </w:rPr>
              <w:tab/>
            </w:r>
            <w:r w:rsidR="00753FE5">
              <w:rPr>
                <w:noProof/>
                <w:webHidden/>
              </w:rPr>
              <w:fldChar w:fldCharType="begin"/>
            </w:r>
            <w:r w:rsidR="00753FE5">
              <w:rPr>
                <w:noProof/>
                <w:webHidden/>
              </w:rPr>
              <w:instrText xml:space="preserve"> PAGEREF _Toc236853412 \h </w:instrText>
            </w:r>
            <w:r w:rsidR="00753FE5">
              <w:rPr>
                <w:noProof/>
                <w:webHidden/>
              </w:rPr>
            </w:r>
            <w:r w:rsidR="00753FE5">
              <w:rPr>
                <w:noProof/>
                <w:webHidden/>
              </w:rPr>
              <w:fldChar w:fldCharType="separate"/>
            </w:r>
            <w:r w:rsidR="00753FE5">
              <w:rPr>
                <w:noProof/>
                <w:webHidden/>
              </w:rPr>
              <w:t>1</w:t>
            </w:r>
            <w:r w:rsidR="00753FE5">
              <w:rPr>
                <w:noProof/>
                <w:webHidden/>
              </w:rPr>
              <w:fldChar w:fldCharType="end"/>
            </w:r>
          </w:hyperlink>
        </w:p>
        <w:p w14:paraId="75130EEF" w14:textId="581579B1" w:rsidR="00753FE5" w:rsidRDefault="00753FE5">
          <w:pPr>
            <w:pStyle w:val="TOC1"/>
            <w:tabs>
              <w:tab w:val="right" w:leader="dot" w:pos="9350"/>
            </w:tabs>
            <w:rPr>
              <w:b w:val="0"/>
              <w:bCs w:val="0"/>
              <w:i w:val="0"/>
              <w:iCs w:val="0"/>
              <w:noProof/>
              <w:kern w:val="2"/>
              <w:lang w:val="en-CA" w:eastAsia="en-US"/>
              <w14:ligatures w14:val="standardContextual"/>
            </w:rPr>
          </w:pPr>
          <w:hyperlink w:anchor="_Toc236853413" w:history="1">
            <w:r w:rsidRPr="00D56D10">
              <w:rPr>
                <w:rStyle w:val="Hyperlink"/>
                <w:noProof/>
              </w:rPr>
              <w:t>EXECUTIVE SUMMARY</w:t>
            </w:r>
            <w:r>
              <w:rPr>
                <w:noProof/>
                <w:webHidden/>
              </w:rPr>
              <w:tab/>
            </w:r>
            <w:r>
              <w:rPr>
                <w:noProof/>
                <w:webHidden/>
              </w:rPr>
              <w:fldChar w:fldCharType="begin"/>
            </w:r>
            <w:r>
              <w:rPr>
                <w:noProof/>
                <w:webHidden/>
              </w:rPr>
              <w:instrText xml:space="preserve"> PAGEREF _Toc236853413 \h </w:instrText>
            </w:r>
            <w:r>
              <w:rPr>
                <w:noProof/>
                <w:webHidden/>
              </w:rPr>
            </w:r>
            <w:r>
              <w:rPr>
                <w:noProof/>
                <w:webHidden/>
              </w:rPr>
              <w:fldChar w:fldCharType="separate"/>
            </w:r>
            <w:r>
              <w:rPr>
                <w:noProof/>
                <w:webHidden/>
              </w:rPr>
              <w:t>4</w:t>
            </w:r>
            <w:r>
              <w:rPr>
                <w:noProof/>
                <w:webHidden/>
              </w:rPr>
              <w:fldChar w:fldCharType="end"/>
            </w:r>
          </w:hyperlink>
        </w:p>
        <w:p w14:paraId="7730E42D" w14:textId="784E9296"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14" w:history="1">
            <w:r w:rsidRPr="00D56D10">
              <w:rPr>
                <w:rStyle w:val="Hyperlink"/>
                <w:rFonts w:ascii="Arial" w:hAnsi="Arial" w:cs="Arial"/>
                <w:noProof/>
              </w:rPr>
              <w:t>KPI’s Summary</w:t>
            </w:r>
            <w:r>
              <w:rPr>
                <w:noProof/>
                <w:webHidden/>
              </w:rPr>
              <w:tab/>
            </w:r>
            <w:r>
              <w:rPr>
                <w:noProof/>
                <w:webHidden/>
              </w:rPr>
              <w:fldChar w:fldCharType="begin"/>
            </w:r>
            <w:r>
              <w:rPr>
                <w:noProof/>
                <w:webHidden/>
              </w:rPr>
              <w:instrText xml:space="preserve"> PAGEREF _Toc236853414 \h </w:instrText>
            </w:r>
            <w:r>
              <w:rPr>
                <w:noProof/>
                <w:webHidden/>
              </w:rPr>
            </w:r>
            <w:r>
              <w:rPr>
                <w:noProof/>
                <w:webHidden/>
              </w:rPr>
              <w:fldChar w:fldCharType="separate"/>
            </w:r>
            <w:r>
              <w:rPr>
                <w:noProof/>
                <w:webHidden/>
              </w:rPr>
              <w:t>4</w:t>
            </w:r>
            <w:r>
              <w:rPr>
                <w:noProof/>
                <w:webHidden/>
              </w:rPr>
              <w:fldChar w:fldCharType="end"/>
            </w:r>
          </w:hyperlink>
        </w:p>
        <w:p w14:paraId="29AE8E35" w14:textId="21BCABCD" w:rsidR="00753FE5" w:rsidRDefault="00753FE5">
          <w:pPr>
            <w:pStyle w:val="TOC3"/>
            <w:tabs>
              <w:tab w:val="right" w:leader="dot" w:pos="9350"/>
            </w:tabs>
            <w:rPr>
              <w:noProof/>
              <w:kern w:val="2"/>
              <w:sz w:val="24"/>
              <w:szCs w:val="24"/>
              <w:lang w:val="en-CA" w:eastAsia="en-US"/>
              <w14:ligatures w14:val="standardContextual"/>
            </w:rPr>
          </w:pPr>
          <w:hyperlink w:anchor="_Toc236853415" w:history="1">
            <w:r w:rsidRPr="00D56D10">
              <w:rPr>
                <w:rStyle w:val="Hyperlink"/>
                <w:noProof/>
              </w:rPr>
              <w:t>Recommendation:</w:t>
            </w:r>
            <w:r>
              <w:rPr>
                <w:noProof/>
                <w:webHidden/>
              </w:rPr>
              <w:tab/>
            </w:r>
            <w:r>
              <w:rPr>
                <w:noProof/>
                <w:webHidden/>
              </w:rPr>
              <w:fldChar w:fldCharType="begin"/>
            </w:r>
            <w:r>
              <w:rPr>
                <w:noProof/>
                <w:webHidden/>
              </w:rPr>
              <w:instrText xml:space="preserve"> PAGEREF _Toc236853415 \h </w:instrText>
            </w:r>
            <w:r>
              <w:rPr>
                <w:noProof/>
                <w:webHidden/>
              </w:rPr>
            </w:r>
            <w:r>
              <w:rPr>
                <w:noProof/>
                <w:webHidden/>
              </w:rPr>
              <w:fldChar w:fldCharType="separate"/>
            </w:r>
            <w:r>
              <w:rPr>
                <w:noProof/>
                <w:webHidden/>
              </w:rPr>
              <w:t>4</w:t>
            </w:r>
            <w:r>
              <w:rPr>
                <w:noProof/>
                <w:webHidden/>
              </w:rPr>
              <w:fldChar w:fldCharType="end"/>
            </w:r>
          </w:hyperlink>
        </w:p>
        <w:p w14:paraId="28924479" w14:textId="2548E191" w:rsidR="00753FE5" w:rsidRDefault="00753FE5">
          <w:pPr>
            <w:pStyle w:val="TOC1"/>
            <w:tabs>
              <w:tab w:val="right" w:leader="dot" w:pos="9350"/>
            </w:tabs>
            <w:rPr>
              <w:b w:val="0"/>
              <w:bCs w:val="0"/>
              <w:i w:val="0"/>
              <w:iCs w:val="0"/>
              <w:noProof/>
              <w:kern w:val="2"/>
              <w:lang w:val="en-CA" w:eastAsia="en-US"/>
              <w14:ligatures w14:val="standardContextual"/>
            </w:rPr>
          </w:pPr>
          <w:hyperlink w:anchor="_Toc236853416" w:history="1">
            <w:r w:rsidRPr="00D56D10">
              <w:rPr>
                <w:rStyle w:val="Hyperlink"/>
                <w:noProof/>
              </w:rPr>
              <w:t>INTRODUCTION &amp; BUSINESS CONTEXT</w:t>
            </w:r>
            <w:r>
              <w:rPr>
                <w:noProof/>
                <w:webHidden/>
              </w:rPr>
              <w:tab/>
            </w:r>
            <w:r>
              <w:rPr>
                <w:noProof/>
                <w:webHidden/>
              </w:rPr>
              <w:fldChar w:fldCharType="begin"/>
            </w:r>
            <w:r>
              <w:rPr>
                <w:noProof/>
                <w:webHidden/>
              </w:rPr>
              <w:instrText xml:space="preserve"> PAGEREF _Toc236853416 \h </w:instrText>
            </w:r>
            <w:r>
              <w:rPr>
                <w:noProof/>
                <w:webHidden/>
              </w:rPr>
            </w:r>
            <w:r>
              <w:rPr>
                <w:noProof/>
                <w:webHidden/>
              </w:rPr>
              <w:fldChar w:fldCharType="separate"/>
            </w:r>
            <w:r>
              <w:rPr>
                <w:noProof/>
                <w:webHidden/>
              </w:rPr>
              <w:t>5</w:t>
            </w:r>
            <w:r>
              <w:rPr>
                <w:noProof/>
                <w:webHidden/>
              </w:rPr>
              <w:fldChar w:fldCharType="end"/>
            </w:r>
          </w:hyperlink>
        </w:p>
        <w:p w14:paraId="0E5998CC" w14:textId="7C747CE9"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17" w:history="1">
            <w:r w:rsidRPr="00D56D10">
              <w:rPr>
                <w:rStyle w:val="Hyperlink"/>
                <w:noProof/>
              </w:rPr>
              <w:t>Business Challenge</w:t>
            </w:r>
            <w:r>
              <w:rPr>
                <w:noProof/>
                <w:webHidden/>
              </w:rPr>
              <w:tab/>
            </w:r>
            <w:r>
              <w:rPr>
                <w:noProof/>
                <w:webHidden/>
              </w:rPr>
              <w:fldChar w:fldCharType="begin"/>
            </w:r>
            <w:r>
              <w:rPr>
                <w:noProof/>
                <w:webHidden/>
              </w:rPr>
              <w:instrText xml:space="preserve"> PAGEREF _Toc236853417 \h </w:instrText>
            </w:r>
            <w:r>
              <w:rPr>
                <w:noProof/>
                <w:webHidden/>
              </w:rPr>
            </w:r>
            <w:r>
              <w:rPr>
                <w:noProof/>
                <w:webHidden/>
              </w:rPr>
              <w:fldChar w:fldCharType="separate"/>
            </w:r>
            <w:r>
              <w:rPr>
                <w:noProof/>
                <w:webHidden/>
              </w:rPr>
              <w:t>5</w:t>
            </w:r>
            <w:r>
              <w:rPr>
                <w:noProof/>
                <w:webHidden/>
              </w:rPr>
              <w:fldChar w:fldCharType="end"/>
            </w:r>
          </w:hyperlink>
        </w:p>
        <w:p w14:paraId="1E477E7D" w14:textId="119A6E3C" w:rsidR="00753FE5" w:rsidRDefault="00753FE5">
          <w:pPr>
            <w:pStyle w:val="TOC3"/>
            <w:tabs>
              <w:tab w:val="right" w:leader="dot" w:pos="9350"/>
            </w:tabs>
            <w:rPr>
              <w:noProof/>
              <w:kern w:val="2"/>
              <w:sz w:val="24"/>
              <w:szCs w:val="24"/>
              <w:lang w:val="en-CA" w:eastAsia="en-US"/>
              <w14:ligatures w14:val="standardContextual"/>
            </w:rPr>
          </w:pPr>
          <w:hyperlink w:anchor="_Toc236853418" w:history="1">
            <w:r w:rsidRPr="00D56D10">
              <w:rPr>
                <w:rStyle w:val="Hyperlink"/>
                <w:noProof/>
              </w:rPr>
              <w:t>Research Questions</w:t>
            </w:r>
            <w:r>
              <w:rPr>
                <w:noProof/>
                <w:webHidden/>
              </w:rPr>
              <w:tab/>
            </w:r>
            <w:r>
              <w:rPr>
                <w:noProof/>
                <w:webHidden/>
              </w:rPr>
              <w:fldChar w:fldCharType="begin"/>
            </w:r>
            <w:r>
              <w:rPr>
                <w:noProof/>
                <w:webHidden/>
              </w:rPr>
              <w:instrText xml:space="preserve"> PAGEREF _Toc236853418 \h </w:instrText>
            </w:r>
            <w:r>
              <w:rPr>
                <w:noProof/>
                <w:webHidden/>
              </w:rPr>
            </w:r>
            <w:r>
              <w:rPr>
                <w:noProof/>
                <w:webHidden/>
              </w:rPr>
              <w:fldChar w:fldCharType="separate"/>
            </w:r>
            <w:r>
              <w:rPr>
                <w:noProof/>
                <w:webHidden/>
              </w:rPr>
              <w:t>5</w:t>
            </w:r>
            <w:r>
              <w:rPr>
                <w:noProof/>
                <w:webHidden/>
              </w:rPr>
              <w:fldChar w:fldCharType="end"/>
            </w:r>
          </w:hyperlink>
        </w:p>
        <w:p w14:paraId="37CC339D" w14:textId="51834FB4"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19" w:history="1">
            <w:r w:rsidRPr="00D56D10">
              <w:rPr>
                <w:rStyle w:val="Hyperlink"/>
                <w:rFonts w:ascii="Arial" w:hAnsi="Arial" w:cs="Arial"/>
                <w:noProof/>
              </w:rPr>
              <w:t>Scope and Terminology</w:t>
            </w:r>
            <w:r>
              <w:rPr>
                <w:noProof/>
                <w:webHidden/>
              </w:rPr>
              <w:tab/>
            </w:r>
            <w:r>
              <w:rPr>
                <w:noProof/>
                <w:webHidden/>
              </w:rPr>
              <w:fldChar w:fldCharType="begin"/>
            </w:r>
            <w:r>
              <w:rPr>
                <w:noProof/>
                <w:webHidden/>
              </w:rPr>
              <w:instrText xml:space="preserve"> PAGEREF _Toc236853419 \h </w:instrText>
            </w:r>
            <w:r>
              <w:rPr>
                <w:noProof/>
                <w:webHidden/>
              </w:rPr>
            </w:r>
            <w:r>
              <w:rPr>
                <w:noProof/>
                <w:webHidden/>
              </w:rPr>
              <w:fldChar w:fldCharType="separate"/>
            </w:r>
            <w:r>
              <w:rPr>
                <w:noProof/>
                <w:webHidden/>
              </w:rPr>
              <w:t>5</w:t>
            </w:r>
            <w:r>
              <w:rPr>
                <w:noProof/>
                <w:webHidden/>
              </w:rPr>
              <w:fldChar w:fldCharType="end"/>
            </w:r>
          </w:hyperlink>
        </w:p>
        <w:p w14:paraId="2FE4DC56" w14:textId="0355AD8A" w:rsidR="00753FE5" w:rsidRDefault="00753FE5">
          <w:pPr>
            <w:pStyle w:val="TOC1"/>
            <w:tabs>
              <w:tab w:val="right" w:leader="dot" w:pos="9350"/>
            </w:tabs>
            <w:rPr>
              <w:b w:val="0"/>
              <w:bCs w:val="0"/>
              <w:i w:val="0"/>
              <w:iCs w:val="0"/>
              <w:noProof/>
              <w:kern w:val="2"/>
              <w:lang w:val="en-CA" w:eastAsia="en-US"/>
              <w14:ligatures w14:val="standardContextual"/>
            </w:rPr>
          </w:pPr>
          <w:hyperlink w:anchor="_Toc236853420" w:history="1">
            <w:r w:rsidRPr="00D56D10">
              <w:rPr>
                <w:rStyle w:val="Hyperlink"/>
                <w:noProof/>
              </w:rPr>
              <w:t>METHODOLOGY</w:t>
            </w:r>
            <w:r>
              <w:rPr>
                <w:noProof/>
                <w:webHidden/>
              </w:rPr>
              <w:tab/>
            </w:r>
            <w:r>
              <w:rPr>
                <w:noProof/>
                <w:webHidden/>
              </w:rPr>
              <w:fldChar w:fldCharType="begin"/>
            </w:r>
            <w:r>
              <w:rPr>
                <w:noProof/>
                <w:webHidden/>
              </w:rPr>
              <w:instrText xml:space="preserve"> PAGEREF _Toc236853420 \h </w:instrText>
            </w:r>
            <w:r>
              <w:rPr>
                <w:noProof/>
                <w:webHidden/>
              </w:rPr>
            </w:r>
            <w:r>
              <w:rPr>
                <w:noProof/>
                <w:webHidden/>
              </w:rPr>
              <w:fldChar w:fldCharType="separate"/>
            </w:r>
            <w:r>
              <w:rPr>
                <w:noProof/>
                <w:webHidden/>
              </w:rPr>
              <w:t>6</w:t>
            </w:r>
            <w:r>
              <w:rPr>
                <w:noProof/>
                <w:webHidden/>
              </w:rPr>
              <w:fldChar w:fldCharType="end"/>
            </w:r>
          </w:hyperlink>
        </w:p>
        <w:p w14:paraId="79E5A1F6" w14:textId="71F5F2F1"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21" w:history="1">
            <w:r w:rsidRPr="00D56D10">
              <w:rPr>
                <w:rStyle w:val="Hyperlink"/>
                <w:rFonts w:ascii="Arial" w:hAnsi="Arial" w:cs="Arial"/>
                <w:noProof/>
              </w:rPr>
              <w:t>Data Sources and Tools</w:t>
            </w:r>
            <w:r>
              <w:rPr>
                <w:noProof/>
                <w:webHidden/>
              </w:rPr>
              <w:tab/>
            </w:r>
            <w:r>
              <w:rPr>
                <w:noProof/>
                <w:webHidden/>
              </w:rPr>
              <w:fldChar w:fldCharType="begin"/>
            </w:r>
            <w:r>
              <w:rPr>
                <w:noProof/>
                <w:webHidden/>
              </w:rPr>
              <w:instrText xml:space="preserve"> PAGEREF _Toc236853421 \h </w:instrText>
            </w:r>
            <w:r>
              <w:rPr>
                <w:noProof/>
                <w:webHidden/>
              </w:rPr>
            </w:r>
            <w:r>
              <w:rPr>
                <w:noProof/>
                <w:webHidden/>
              </w:rPr>
              <w:fldChar w:fldCharType="separate"/>
            </w:r>
            <w:r>
              <w:rPr>
                <w:noProof/>
                <w:webHidden/>
              </w:rPr>
              <w:t>6</w:t>
            </w:r>
            <w:r>
              <w:rPr>
                <w:noProof/>
                <w:webHidden/>
              </w:rPr>
              <w:fldChar w:fldCharType="end"/>
            </w:r>
          </w:hyperlink>
        </w:p>
        <w:p w14:paraId="79834895" w14:textId="166E9F52"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22" w:history="1">
            <w:r w:rsidRPr="00D56D10">
              <w:rPr>
                <w:rStyle w:val="Hyperlink"/>
                <w:noProof/>
              </w:rPr>
              <w:t>Analytical Approach</w:t>
            </w:r>
            <w:r>
              <w:rPr>
                <w:noProof/>
                <w:webHidden/>
              </w:rPr>
              <w:tab/>
            </w:r>
            <w:r>
              <w:rPr>
                <w:noProof/>
                <w:webHidden/>
              </w:rPr>
              <w:fldChar w:fldCharType="begin"/>
            </w:r>
            <w:r>
              <w:rPr>
                <w:noProof/>
                <w:webHidden/>
              </w:rPr>
              <w:instrText xml:space="preserve"> PAGEREF _Toc236853422 \h </w:instrText>
            </w:r>
            <w:r>
              <w:rPr>
                <w:noProof/>
                <w:webHidden/>
              </w:rPr>
            </w:r>
            <w:r>
              <w:rPr>
                <w:noProof/>
                <w:webHidden/>
              </w:rPr>
              <w:fldChar w:fldCharType="separate"/>
            </w:r>
            <w:r>
              <w:rPr>
                <w:noProof/>
                <w:webHidden/>
              </w:rPr>
              <w:t>6</w:t>
            </w:r>
            <w:r>
              <w:rPr>
                <w:noProof/>
                <w:webHidden/>
              </w:rPr>
              <w:fldChar w:fldCharType="end"/>
            </w:r>
          </w:hyperlink>
        </w:p>
        <w:p w14:paraId="3C8483D3" w14:textId="654433D7"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23" w:history="1">
            <w:r w:rsidRPr="00D56D10">
              <w:rPr>
                <w:rStyle w:val="Hyperlink"/>
                <w:noProof/>
              </w:rPr>
              <w:t>Why These Methods Were Chosen</w:t>
            </w:r>
            <w:r>
              <w:rPr>
                <w:noProof/>
                <w:webHidden/>
              </w:rPr>
              <w:tab/>
            </w:r>
            <w:r>
              <w:rPr>
                <w:noProof/>
                <w:webHidden/>
              </w:rPr>
              <w:fldChar w:fldCharType="begin"/>
            </w:r>
            <w:r>
              <w:rPr>
                <w:noProof/>
                <w:webHidden/>
              </w:rPr>
              <w:instrText xml:space="preserve"> PAGEREF _Toc236853423 \h </w:instrText>
            </w:r>
            <w:r>
              <w:rPr>
                <w:noProof/>
                <w:webHidden/>
              </w:rPr>
            </w:r>
            <w:r>
              <w:rPr>
                <w:noProof/>
                <w:webHidden/>
              </w:rPr>
              <w:fldChar w:fldCharType="separate"/>
            </w:r>
            <w:r>
              <w:rPr>
                <w:noProof/>
                <w:webHidden/>
              </w:rPr>
              <w:t>6</w:t>
            </w:r>
            <w:r>
              <w:rPr>
                <w:noProof/>
                <w:webHidden/>
              </w:rPr>
              <w:fldChar w:fldCharType="end"/>
            </w:r>
          </w:hyperlink>
        </w:p>
        <w:p w14:paraId="42C20DB1" w14:textId="1DAF4BA9"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24" w:history="1">
            <w:r w:rsidRPr="00D56D10">
              <w:rPr>
                <w:rStyle w:val="Hyperlink"/>
                <w:noProof/>
              </w:rPr>
              <w:t>Ethics and Governance Embedded in the Method</w:t>
            </w:r>
            <w:r>
              <w:rPr>
                <w:noProof/>
                <w:webHidden/>
              </w:rPr>
              <w:tab/>
            </w:r>
            <w:r>
              <w:rPr>
                <w:noProof/>
                <w:webHidden/>
              </w:rPr>
              <w:fldChar w:fldCharType="begin"/>
            </w:r>
            <w:r>
              <w:rPr>
                <w:noProof/>
                <w:webHidden/>
              </w:rPr>
              <w:instrText xml:space="preserve"> PAGEREF _Toc236853424 \h </w:instrText>
            </w:r>
            <w:r>
              <w:rPr>
                <w:noProof/>
                <w:webHidden/>
              </w:rPr>
            </w:r>
            <w:r>
              <w:rPr>
                <w:noProof/>
                <w:webHidden/>
              </w:rPr>
              <w:fldChar w:fldCharType="separate"/>
            </w:r>
            <w:r>
              <w:rPr>
                <w:noProof/>
                <w:webHidden/>
              </w:rPr>
              <w:t>6</w:t>
            </w:r>
            <w:r>
              <w:rPr>
                <w:noProof/>
                <w:webHidden/>
              </w:rPr>
              <w:fldChar w:fldCharType="end"/>
            </w:r>
          </w:hyperlink>
        </w:p>
        <w:p w14:paraId="2994298D" w14:textId="7B4F58BF" w:rsidR="00753FE5" w:rsidRDefault="00753FE5">
          <w:pPr>
            <w:pStyle w:val="TOC1"/>
            <w:tabs>
              <w:tab w:val="right" w:leader="dot" w:pos="9350"/>
            </w:tabs>
            <w:rPr>
              <w:b w:val="0"/>
              <w:bCs w:val="0"/>
              <w:i w:val="0"/>
              <w:iCs w:val="0"/>
              <w:noProof/>
              <w:kern w:val="2"/>
              <w:lang w:val="en-CA" w:eastAsia="en-US"/>
              <w14:ligatures w14:val="standardContextual"/>
            </w:rPr>
          </w:pPr>
          <w:hyperlink w:anchor="_Toc236853425" w:history="1">
            <w:r w:rsidRPr="00D56D10">
              <w:rPr>
                <w:rStyle w:val="Hyperlink"/>
                <w:noProof/>
              </w:rPr>
              <w:t>LIMITATION</w:t>
            </w:r>
            <w:r>
              <w:rPr>
                <w:noProof/>
                <w:webHidden/>
              </w:rPr>
              <w:tab/>
            </w:r>
            <w:r>
              <w:rPr>
                <w:noProof/>
                <w:webHidden/>
              </w:rPr>
              <w:fldChar w:fldCharType="begin"/>
            </w:r>
            <w:r>
              <w:rPr>
                <w:noProof/>
                <w:webHidden/>
              </w:rPr>
              <w:instrText xml:space="preserve"> PAGEREF _Toc236853425 \h </w:instrText>
            </w:r>
            <w:r>
              <w:rPr>
                <w:noProof/>
                <w:webHidden/>
              </w:rPr>
            </w:r>
            <w:r>
              <w:rPr>
                <w:noProof/>
                <w:webHidden/>
              </w:rPr>
              <w:fldChar w:fldCharType="separate"/>
            </w:r>
            <w:r>
              <w:rPr>
                <w:noProof/>
                <w:webHidden/>
              </w:rPr>
              <w:t>7</w:t>
            </w:r>
            <w:r>
              <w:rPr>
                <w:noProof/>
                <w:webHidden/>
              </w:rPr>
              <w:fldChar w:fldCharType="end"/>
            </w:r>
          </w:hyperlink>
        </w:p>
        <w:p w14:paraId="340ACF6E" w14:textId="2B99A848" w:rsidR="00753FE5" w:rsidRDefault="00753FE5">
          <w:pPr>
            <w:pStyle w:val="TOC1"/>
            <w:tabs>
              <w:tab w:val="right" w:leader="dot" w:pos="9350"/>
            </w:tabs>
            <w:rPr>
              <w:b w:val="0"/>
              <w:bCs w:val="0"/>
              <w:i w:val="0"/>
              <w:iCs w:val="0"/>
              <w:noProof/>
              <w:kern w:val="2"/>
              <w:lang w:val="en-CA" w:eastAsia="en-US"/>
              <w14:ligatures w14:val="standardContextual"/>
            </w:rPr>
          </w:pPr>
          <w:hyperlink w:anchor="_Toc236853426" w:history="1">
            <w:r w:rsidRPr="00D56D10">
              <w:rPr>
                <w:rStyle w:val="Hyperlink"/>
                <w:noProof/>
              </w:rPr>
              <w:t>FINDINGS &amp; ANALYSIS</w:t>
            </w:r>
            <w:r>
              <w:rPr>
                <w:noProof/>
                <w:webHidden/>
              </w:rPr>
              <w:tab/>
            </w:r>
            <w:r>
              <w:rPr>
                <w:noProof/>
                <w:webHidden/>
              </w:rPr>
              <w:fldChar w:fldCharType="begin"/>
            </w:r>
            <w:r>
              <w:rPr>
                <w:noProof/>
                <w:webHidden/>
              </w:rPr>
              <w:instrText xml:space="preserve"> PAGEREF _Toc236853426 \h </w:instrText>
            </w:r>
            <w:r>
              <w:rPr>
                <w:noProof/>
                <w:webHidden/>
              </w:rPr>
            </w:r>
            <w:r>
              <w:rPr>
                <w:noProof/>
                <w:webHidden/>
              </w:rPr>
              <w:fldChar w:fldCharType="separate"/>
            </w:r>
            <w:r>
              <w:rPr>
                <w:noProof/>
                <w:webHidden/>
              </w:rPr>
              <w:t>7</w:t>
            </w:r>
            <w:r>
              <w:rPr>
                <w:noProof/>
                <w:webHidden/>
              </w:rPr>
              <w:fldChar w:fldCharType="end"/>
            </w:r>
          </w:hyperlink>
        </w:p>
        <w:p w14:paraId="1DC47432" w14:textId="4F5B1C54"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27" w:history="1">
            <w:r w:rsidRPr="00D56D10">
              <w:rPr>
                <w:rStyle w:val="Hyperlink"/>
                <w:noProof/>
              </w:rPr>
              <w:t>Executive Sales Performance</w:t>
            </w:r>
            <w:r>
              <w:rPr>
                <w:noProof/>
                <w:webHidden/>
              </w:rPr>
              <w:tab/>
            </w:r>
            <w:r>
              <w:rPr>
                <w:noProof/>
                <w:webHidden/>
              </w:rPr>
              <w:fldChar w:fldCharType="begin"/>
            </w:r>
            <w:r>
              <w:rPr>
                <w:noProof/>
                <w:webHidden/>
              </w:rPr>
              <w:instrText xml:space="preserve"> PAGEREF _Toc236853427 \h </w:instrText>
            </w:r>
            <w:r>
              <w:rPr>
                <w:noProof/>
                <w:webHidden/>
              </w:rPr>
            </w:r>
            <w:r>
              <w:rPr>
                <w:noProof/>
                <w:webHidden/>
              </w:rPr>
              <w:fldChar w:fldCharType="separate"/>
            </w:r>
            <w:r>
              <w:rPr>
                <w:noProof/>
                <w:webHidden/>
              </w:rPr>
              <w:t>7</w:t>
            </w:r>
            <w:r>
              <w:rPr>
                <w:noProof/>
                <w:webHidden/>
              </w:rPr>
              <w:fldChar w:fldCharType="end"/>
            </w:r>
          </w:hyperlink>
        </w:p>
        <w:p w14:paraId="14AA75B6" w14:textId="5C586A69" w:rsidR="00753FE5" w:rsidRDefault="00753FE5">
          <w:pPr>
            <w:pStyle w:val="TOC3"/>
            <w:tabs>
              <w:tab w:val="right" w:leader="dot" w:pos="9350"/>
            </w:tabs>
            <w:rPr>
              <w:noProof/>
              <w:kern w:val="2"/>
              <w:sz w:val="24"/>
              <w:szCs w:val="24"/>
              <w:lang w:val="en-CA" w:eastAsia="en-US"/>
              <w14:ligatures w14:val="standardContextual"/>
            </w:rPr>
          </w:pPr>
          <w:hyperlink w:anchor="_Toc236853428" w:history="1">
            <w:r w:rsidRPr="00D56D10">
              <w:rPr>
                <w:rStyle w:val="Hyperlink"/>
                <w:b/>
                <w:noProof/>
              </w:rPr>
              <w:t xml:space="preserve">Figure 1: </w:t>
            </w:r>
            <w:r w:rsidRPr="00D56D10">
              <w:rPr>
                <w:rStyle w:val="Hyperlink"/>
                <w:noProof/>
              </w:rPr>
              <w:t>Executive Sales Dashboard</w:t>
            </w:r>
            <w:r>
              <w:rPr>
                <w:noProof/>
                <w:webHidden/>
              </w:rPr>
              <w:tab/>
            </w:r>
            <w:r>
              <w:rPr>
                <w:noProof/>
                <w:webHidden/>
              </w:rPr>
              <w:fldChar w:fldCharType="begin"/>
            </w:r>
            <w:r>
              <w:rPr>
                <w:noProof/>
                <w:webHidden/>
              </w:rPr>
              <w:instrText xml:space="preserve"> PAGEREF _Toc236853428 \h </w:instrText>
            </w:r>
            <w:r>
              <w:rPr>
                <w:noProof/>
                <w:webHidden/>
              </w:rPr>
            </w:r>
            <w:r>
              <w:rPr>
                <w:noProof/>
                <w:webHidden/>
              </w:rPr>
              <w:fldChar w:fldCharType="separate"/>
            </w:r>
            <w:r>
              <w:rPr>
                <w:noProof/>
                <w:webHidden/>
              </w:rPr>
              <w:t>7</w:t>
            </w:r>
            <w:r>
              <w:rPr>
                <w:noProof/>
                <w:webHidden/>
              </w:rPr>
              <w:fldChar w:fldCharType="end"/>
            </w:r>
          </w:hyperlink>
        </w:p>
        <w:p w14:paraId="6A728EE5" w14:textId="66CB7829"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29" w:history="1">
            <w:r w:rsidRPr="00D56D10">
              <w:rPr>
                <w:rStyle w:val="Hyperlink"/>
                <w:noProof/>
              </w:rPr>
              <w:t>Sales Growth and Three-Year Forecast</w:t>
            </w:r>
            <w:r>
              <w:rPr>
                <w:noProof/>
                <w:webHidden/>
              </w:rPr>
              <w:tab/>
            </w:r>
            <w:r>
              <w:rPr>
                <w:noProof/>
                <w:webHidden/>
              </w:rPr>
              <w:fldChar w:fldCharType="begin"/>
            </w:r>
            <w:r>
              <w:rPr>
                <w:noProof/>
                <w:webHidden/>
              </w:rPr>
              <w:instrText xml:space="preserve"> PAGEREF _Toc236853429 \h </w:instrText>
            </w:r>
            <w:r>
              <w:rPr>
                <w:noProof/>
                <w:webHidden/>
              </w:rPr>
            </w:r>
            <w:r>
              <w:rPr>
                <w:noProof/>
                <w:webHidden/>
              </w:rPr>
              <w:fldChar w:fldCharType="separate"/>
            </w:r>
            <w:r>
              <w:rPr>
                <w:noProof/>
                <w:webHidden/>
              </w:rPr>
              <w:t>8</w:t>
            </w:r>
            <w:r>
              <w:rPr>
                <w:noProof/>
                <w:webHidden/>
              </w:rPr>
              <w:fldChar w:fldCharType="end"/>
            </w:r>
          </w:hyperlink>
        </w:p>
        <w:p w14:paraId="47E0E7D8" w14:textId="6E83018D" w:rsidR="00753FE5" w:rsidRDefault="00753FE5">
          <w:pPr>
            <w:pStyle w:val="TOC3"/>
            <w:tabs>
              <w:tab w:val="right" w:leader="dot" w:pos="9350"/>
            </w:tabs>
            <w:rPr>
              <w:noProof/>
              <w:kern w:val="2"/>
              <w:sz w:val="24"/>
              <w:szCs w:val="24"/>
              <w:lang w:val="en-CA" w:eastAsia="en-US"/>
              <w14:ligatures w14:val="standardContextual"/>
            </w:rPr>
          </w:pPr>
          <w:hyperlink w:anchor="_Toc236853430" w:history="1">
            <w:r w:rsidRPr="00D56D10">
              <w:rPr>
                <w:rStyle w:val="Hyperlink"/>
                <w:b/>
                <w:noProof/>
              </w:rPr>
              <w:t>Figure 2</w:t>
            </w:r>
            <w:r w:rsidRPr="00D56D10">
              <w:rPr>
                <w:rStyle w:val="Hyperlink"/>
                <w:noProof/>
              </w:rPr>
              <w:t>: Historical Net Sales and Three-Year Forecast Dashboard</w:t>
            </w:r>
            <w:r>
              <w:rPr>
                <w:noProof/>
                <w:webHidden/>
              </w:rPr>
              <w:tab/>
            </w:r>
            <w:r>
              <w:rPr>
                <w:noProof/>
                <w:webHidden/>
              </w:rPr>
              <w:fldChar w:fldCharType="begin"/>
            </w:r>
            <w:r>
              <w:rPr>
                <w:noProof/>
                <w:webHidden/>
              </w:rPr>
              <w:instrText xml:space="preserve"> PAGEREF _Toc236853430 \h </w:instrText>
            </w:r>
            <w:r>
              <w:rPr>
                <w:noProof/>
                <w:webHidden/>
              </w:rPr>
            </w:r>
            <w:r>
              <w:rPr>
                <w:noProof/>
                <w:webHidden/>
              </w:rPr>
              <w:fldChar w:fldCharType="separate"/>
            </w:r>
            <w:r>
              <w:rPr>
                <w:noProof/>
                <w:webHidden/>
              </w:rPr>
              <w:t>8</w:t>
            </w:r>
            <w:r>
              <w:rPr>
                <w:noProof/>
                <w:webHidden/>
              </w:rPr>
              <w:fldChar w:fldCharType="end"/>
            </w:r>
          </w:hyperlink>
        </w:p>
        <w:p w14:paraId="1A2B1E97" w14:textId="6F3E27B8" w:rsidR="00753FE5" w:rsidRDefault="00753FE5">
          <w:pPr>
            <w:pStyle w:val="TOC3"/>
            <w:tabs>
              <w:tab w:val="right" w:leader="dot" w:pos="9350"/>
            </w:tabs>
            <w:rPr>
              <w:noProof/>
              <w:kern w:val="2"/>
              <w:sz w:val="24"/>
              <w:szCs w:val="24"/>
              <w:lang w:val="en-CA" w:eastAsia="en-US"/>
              <w14:ligatures w14:val="standardContextual"/>
            </w:rPr>
          </w:pPr>
          <w:hyperlink w:anchor="_Toc236853431" w:history="1">
            <w:r w:rsidRPr="00D56D10">
              <w:rPr>
                <w:rStyle w:val="Hyperlink"/>
                <w:noProof/>
              </w:rPr>
              <w:t>Customer Average and forecast AOV</w:t>
            </w:r>
            <w:r>
              <w:rPr>
                <w:noProof/>
                <w:webHidden/>
              </w:rPr>
              <w:tab/>
            </w:r>
            <w:r>
              <w:rPr>
                <w:noProof/>
                <w:webHidden/>
              </w:rPr>
              <w:fldChar w:fldCharType="begin"/>
            </w:r>
            <w:r>
              <w:rPr>
                <w:noProof/>
                <w:webHidden/>
              </w:rPr>
              <w:instrText xml:space="preserve"> PAGEREF _Toc236853431 \h </w:instrText>
            </w:r>
            <w:r>
              <w:rPr>
                <w:noProof/>
                <w:webHidden/>
              </w:rPr>
            </w:r>
            <w:r>
              <w:rPr>
                <w:noProof/>
                <w:webHidden/>
              </w:rPr>
              <w:fldChar w:fldCharType="separate"/>
            </w:r>
            <w:r>
              <w:rPr>
                <w:noProof/>
                <w:webHidden/>
              </w:rPr>
              <w:t>8</w:t>
            </w:r>
            <w:r>
              <w:rPr>
                <w:noProof/>
                <w:webHidden/>
              </w:rPr>
              <w:fldChar w:fldCharType="end"/>
            </w:r>
          </w:hyperlink>
        </w:p>
        <w:p w14:paraId="03414786" w14:textId="2AA0BA70"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32" w:history="1">
            <w:r w:rsidRPr="00D56D10">
              <w:rPr>
                <w:rStyle w:val="Hyperlink"/>
                <w:noProof/>
              </w:rPr>
              <w:t>Customer Behavior and Revenue Concentration</w:t>
            </w:r>
            <w:r>
              <w:rPr>
                <w:noProof/>
                <w:webHidden/>
              </w:rPr>
              <w:tab/>
            </w:r>
            <w:r>
              <w:rPr>
                <w:noProof/>
                <w:webHidden/>
              </w:rPr>
              <w:fldChar w:fldCharType="begin"/>
            </w:r>
            <w:r>
              <w:rPr>
                <w:noProof/>
                <w:webHidden/>
              </w:rPr>
              <w:instrText xml:space="preserve"> PAGEREF _Toc236853432 \h </w:instrText>
            </w:r>
            <w:r>
              <w:rPr>
                <w:noProof/>
                <w:webHidden/>
              </w:rPr>
            </w:r>
            <w:r>
              <w:rPr>
                <w:noProof/>
                <w:webHidden/>
              </w:rPr>
              <w:fldChar w:fldCharType="separate"/>
            </w:r>
            <w:r>
              <w:rPr>
                <w:noProof/>
                <w:webHidden/>
              </w:rPr>
              <w:t>9</w:t>
            </w:r>
            <w:r>
              <w:rPr>
                <w:noProof/>
                <w:webHidden/>
              </w:rPr>
              <w:fldChar w:fldCharType="end"/>
            </w:r>
          </w:hyperlink>
        </w:p>
        <w:p w14:paraId="7A6189C9" w14:textId="76A4143A" w:rsidR="00753FE5" w:rsidRDefault="00753FE5">
          <w:pPr>
            <w:pStyle w:val="TOC3"/>
            <w:tabs>
              <w:tab w:val="right" w:leader="dot" w:pos="9350"/>
            </w:tabs>
            <w:rPr>
              <w:noProof/>
              <w:kern w:val="2"/>
              <w:sz w:val="24"/>
              <w:szCs w:val="24"/>
              <w:lang w:val="en-CA" w:eastAsia="en-US"/>
              <w14:ligatures w14:val="standardContextual"/>
            </w:rPr>
          </w:pPr>
          <w:hyperlink w:anchor="_Toc236853433" w:history="1">
            <w:r w:rsidRPr="00D56D10">
              <w:rPr>
                <w:rStyle w:val="Hyperlink"/>
                <w:b/>
                <w:noProof/>
              </w:rPr>
              <w:t>Figure 3</w:t>
            </w:r>
            <w:r w:rsidRPr="00D56D10">
              <w:rPr>
                <w:rStyle w:val="Hyperlink"/>
                <w:noProof/>
              </w:rPr>
              <w:t>: Customer Opportunity and Net Sales by Customer Type</w:t>
            </w:r>
            <w:r>
              <w:rPr>
                <w:noProof/>
                <w:webHidden/>
              </w:rPr>
              <w:tab/>
            </w:r>
            <w:r>
              <w:rPr>
                <w:noProof/>
                <w:webHidden/>
              </w:rPr>
              <w:fldChar w:fldCharType="begin"/>
            </w:r>
            <w:r>
              <w:rPr>
                <w:noProof/>
                <w:webHidden/>
              </w:rPr>
              <w:instrText xml:space="preserve"> PAGEREF _Toc236853433 \h </w:instrText>
            </w:r>
            <w:r>
              <w:rPr>
                <w:noProof/>
                <w:webHidden/>
              </w:rPr>
            </w:r>
            <w:r>
              <w:rPr>
                <w:noProof/>
                <w:webHidden/>
              </w:rPr>
              <w:fldChar w:fldCharType="separate"/>
            </w:r>
            <w:r>
              <w:rPr>
                <w:noProof/>
                <w:webHidden/>
              </w:rPr>
              <w:t>9</w:t>
            </w:r>
            <w:r>
              <w:rPr>
                <w:noProof/>
                <w:webHidden/>
              </w:rPr>
              <w:fldChar w:fldCharType="end"/>
            </w:r>
          </w:hyperlink>
        </w:p>
        <w:p w14:paraId="0AEFE760" w14:textId="735BE9A7" w:rsidR="00753FE5" w:rsidRDefault="00753FE5">
          <w:pPr>
            <w:pStyle w:val="TOC3"/>
            <w:tabs>
              <w:tab w:val="right" w:leader="dot" w:pos="9350"/>
            </w:tabs>
            <w:rPr>
              <w:noProof/>
              <w:kern w:val="2"/>
              <w:sz w:val="24"/>
              <w:szCs w:val="24"/>
              <w:lang w:val="en-CA" w:eastAsia="en-US"/>
              <w14:ligatures w14:val="standardContextual"/>
            </w:rPr>
          </w:pPr>
          <w:hyperlink w:anchor="_Toc236853434" w:history="1">
            <w:r w:rsidRPr="00D56D10">
              <w:rPr>
                <w:rStyle w:val="Hyperlink"/>
                <w:noProof/>
              </w:rPr>
              <w:t>Hypothesis for Controlled Testing</w:t>
            </w:r>
            <w:r>
              <w:rPr>
                <w:noProof/>
                <w:webHidden/>
              </w:rPr>
              <w:tab/>
            </w:r>
            <w:r>
              <w:rPr>
                <w:noProof/>
                <w:webHidden/>
              </w:rPr>
              <w:fldChar w:fldCharType="begin"/>
            </w:r>
            <w:r>
              <w:rPr>
                <w:noProof/>
                <w:webHidden/>
              </w:rPr>
              <w:instrText xml:space="preserve"> PAGEREF _Toc236853434 \h </w:instrText>
            </w:r>
            <w:r>
              <w:rPr>
                <w:noProof/>
                <w:webHidden/>
              </w:rPr>
            </w:r>
            <w:r>
              <w:rPr>
                <w:noProof/>
                <w:webHidden/>
              </w:rPr>
              <w:fldChar w:fldCharType="separate"/>
            </w:r>
            <w:r>
              <w:rPr>
                <w:noProof/>
                <w:webHidden/>
              </w:rPr>
              <w:t>9</w:t>
            </w:r>
            <w:r>
              <w:rPr>
                <w:noProof/>
                <w:webHidden/>
              </w:rPr>
              <w:fldChar w:fldCharType="end"/>
            </w:r>
          </w:hyperlink>
        </w:p>
        <w:p w14:paraId="308C01F4" w14:textId="39CFFAEB"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35" w:history="1">
            <w:r w:rsidRPr="00D56D10">
              <w:rPr>
                <w:rStyle w:val="Hyperlink"/>
                <w:noProof/>
              </w:rPr>
              <w:t>Regional AOV Growth Priorities</w:t>
            </w:r>
            <w:r>
              <w:rPr>
                <w:noProof/>
                <w:webHidden/>
              </w:rPr>
              <w:tab/>
            </w:r>
            <w:r>
              <w:rPr>
                <w:noProof/>
                <w:webHidden/>
              </w:rPr>
              <w:fldChar w:fldCharType="begin"/>
            </w:r>
            <w:r>
              <w:rPr>
                <w:noProof/>
                <w:webHidden/>
              </w:rPr>
              <w:instrText xml:space="preserve"> PAGEREF _Toc236853435 \h </w:instrText>
            </w:r>
            <w:r>
              <w:rPr>
                <w:noProof/>
                <w:webHidden/>
              </w:rPr>
            </w:r>
            <w:r>
              <w:rPr>
                <w:noProof/>
                <w:webHidden/>
              </w:rPr>
              <w:fldChar w:fldCharType="separate"/>
            </w:r>
            <w:r>
              <w:rPr>
                <w:noProof/>
                <w:webHidden/>
              </w:rPr>
              <w:t>10</w:t>
            </w:r>
            <w:r>
              <w:rPr>
                <w:noProof/>
                <w:webHidden/>
              </w:rPr>
              <w:fldChar w:fldCharType="end"/>
            </w:r>
          </w:hyperlink>
        </w:p>
        <w:p w14:paraId="0633AA56" w14:textId="01D728B7" w:rsidR="00753FE5" w:rsidRDefault="00753FE5">
          <w:pPr>
            <w:pStyle w:val="TOC3"/>
            <w:tabs>
              <w:tab w:val="right" w:leader="dot" w:pos="9350"/>
            </w:tabs>
            <w:rPr>
              <w:noProof/>
              <w:kern w:val="2"/>
              <w:sz w:val="24"/>
              <w:szCs w:val="24"/>
              <w:lang w:val="en-CA" w:eastAsia="en-US"/>
              <w14:ligatures w14:val="standardContextual"/>
            </w:rPr>
          </w:pPr>
          <w:hyperlink w:anchor="_Toc236853436" w:history="1">
            <w:r w:rsidRPr="00D56D10">
              <w:rPr>
                <w:rStyle w:val="Hyperlink"/>
                <w:b/>
                <w:noProof/>
              </w:rPr>
              <w:t>Figure 4</w:t>
            </w:r>
            <w:r w:rsidRPr="00D56D10">
              <w:rPr>
                <w:rStyle w:val="Hyperlink"/>
                <w:noProof/>
              </w:rPr>
              <w:t>: Regional AOV-Growth Priority Dashboard</w:t>
            </w:r>
            <w:r>
              <w:rPr>
                <w:noProof/>
                <w:webHidden/>
              </w:rPr>
              <w:tab/>
            </w:r>
            <w:r>
              <w:rPr>
                <w:noProof/>
                <w:webHidden/>
              </w:rPr>
              <w:fldChar w:fldCharType="begin"/>
            </w:r>
            <w:r>
              <w:rPr>
                <w:noProof/>
                <w:webHidden/>
              </w:rPr>
              <w:instrText xml:space="preserve"> PAGEREF _Toc236853436 \h </w:instrText>
            </w:r>
            <w:r>
              <w:rPr>
                <w:noProof/>
                <w:webHidden/>
              </w:rPr>
            </w:r>
            <w:r>
              <w:rPr>
                <w:noProof/>
                <w:webHidden/>
              </w:rPr>
              <w:fldChar w:fldCharType="separate"/>
            </w:r>
            <w:r>
              <w:rPr>
                <w:noProof/>
                <w:webHidden/>
              </w:rPr>
              <w:t>10</w:t>
            </w:r>
            <w:r>
              <w:rPr>
                <w:noProof/>
                <w:webHidden/>
              </w:rPr>
              <w:fldChar w:fldCharType="end"/>
            </w:r>
          </w:hyperlink>
        </w:p>
        <w:p w14:paraId="071A5DAB" w14:textId="1F0A0160" w:rsidR="00753FE5" w:rsidRDefault="00753FE5">
          <w:pPr>
            <w:pStyle w:val="TOC3"/>
            <w:tabs>
              <w:tab w:val="right" w:leader="dot" w:pos="9350"/>
            </w:tabs>
            <w:rPr>
              <w:noProof/>
              <w:kern w:val="2"/>
              <w:sz w:val="24"/>
              <w:szCs w:val="24"/>
              <w:lang w:val="en-CA" w:eastAsia="en-US"/>
              <w14:ligatures w14:val="standardContextual"/>
            </w:rPr>
          </w:pPr>
          <w:hyperlink w:anchor="_Toc236853437" w:history="1">
            <w:r w:rsidRPr="00D56D10">
              <w:rPr>
                <w:rStyle w:val="Hyperlink"/>
                <w:noProof/>
              </w:rPr>
              <w:t>Regional decision rule:</w:t>
            </w:r>
            <w:r>
              <w:rPr>
                <w:noProof/>
                <w:webHidden/>
              </w:rPr>
              <w:tab/>
            </w:r>
            <w:r>
              <w:rPr>
                <w:noProof/>
                <w:webHidden/>
              </w:rPr>
              <w:fldChar w:fldCharType="begin"/>
            </w:r>
            <w:r>
              <w:rPr>
                <w:noProof/>
                <w:webHidden/>
              </w:rPr>
              <w:instrText xml:space="preserve"> PAGEREF _Toc236853437 \h </w:instrText>
            </w:r>
            <w:r>
              <w:rPr>
                <w:noProof/>
                <w:webHidden/>
              </w:rPr>
            </w:r>
            <w:r>
              <w:rPr>
                <w:noProof/>
                <w:webHidden/>
              </w:rPr>
              <w:fldChar w:fldCharType="separate"/>
            </w:r>
            <w:r>
              <w:rPr>
                <w:noProof/>
                <w:webHidden/>
              </w:rPr>
              <w:t>10</w:t>
            </w:r>
            <w:r>
              <w:rPr>
                <w:noProof/>
                <w:webHidden/>
              </w:rPr>
              <w:fldChar w:fldCharType="end"/>
            </w:r>
          </w:hyperlink>
        </w:p>
        <w:p w14:paraId="198813FC" w14:textId="239ED072"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38" w:history="1">
            <w:r w:rsidRPr="00D56D10">
              <w:rPr>
                <w:rStyle w:val="Hyperlink"/>
                <w:noProof/>
              </w:rPr>
              <w:t>AOV Measurement and Target Interpretation</w:t>
            </w:r>
            <w:r>
              <w:rPr>
                <w:noProof/>
                <w:webHidden/>
              </w:rPr>
              <w:tab/>
            </w:r>
            <w:r>
              <w:rPr>
                <w:noProof/>
                <w:webHidden/>
              </w:rPr>
              <w:fldChar w:fldCharType="begin"/>
            </w:r>
            <w:r>
              <w:rPr>
                <w:noProof/>
                <w:webHidden/>
              </w:rPr>
              <w:instrText xml:space="preserve"> PAGEREF _Toc236853438 \h </w:instrText>
            </w:r>
            <w:r>
              <w:rPr>
                <w:noProof/>
                <w:webHidden/>
              </w:rPr>
            </w:r>
            <w:r>
              <w:rPr>
                <w:noProof/>
                <w:webHidden/>
              </w:rPr>
              <w:fldChar w:fldCharType="separate"/>
            </w:r>
            <w:r>
              <w:rPr>
                <w:noProof/>
                <w:webHidden/>
              </w:rPr>
              <w:t>10</w:t>
            </w:r>
            <w:r>
              <w:rPr>
                <w:noProof/>
                <w:webHidden/>
              </w:rPr>
              <w:fldChar w:fldCharType="end"/>
            </w:r>
          </w:hyperlink>
        </w:p>
        <w:p w14:paraId="14735A21" w14:textId="749A764D" w:rsidR="00753FE5" w:rsidRDefault="00753FE5">
          <w:pPr>
            <w:pStyle w:val="TOC3"/>
            <w:tabs>
              <w:tab w:val="right" w:leader="dot" w:pos="9350"/>
            </w:tabs>
            <w:rPr>
              <w:noProof/>
              <w:kern w:val="2"/>
              <w:sz w:val="24"/>
              <w:szCs w:val="24"/>
              <w:lang w:val="en-CA" w:eastAsia="en-US"/>
              <w14:ligatures w14:val="standardContextual"/>
            </w:rPr>
          </w:pPr>
          <w:hyperlink w:anchor="_Toc236853439" w:history="1">
            <w:r w:rsidRPr="00D56D10">
              <w:rPr>
                <w:rStyle w:val="Hyperlink"/>
                <w:b/>
                <w:noProof/>
              </w:rPr>
              <w:t>Figure 5</w:t>
            </w:r>
            <w:r w:rsidRPr="00D56D10">
              <w:rPr>
                <w:rStyle w:val="Hyperlink"/>
                <w:noProof/>
              </w:rPr>
              <w:t>: Regional Average Order Value Forecast Dashboard</w:t>
            </w:r>
            <w:r>
              <w:rPr>
                <w:noProof/>
                <w:webHidden/>
              </w:rPr>
              <w:tab/>
            </w:r>
            <w:r>
              <w:rPr>
                <w:noProof/>
                <w:webHidden/>
              </w:rPr>
              <w:fldChar w:fldCharType="begin"/>
            </w:r>
            <w:r>
              <w:rPr>
                <w:noProof/>
                <w:webHidden/>
              </w:rPr>
              <w:instrText xml:space="preserve"> PAGEREF _Toc236853439 \h </w:instrText>
            </w:r>
            <w:r>
              <w:rPr>
                <w:noProof/>
                <w:webHidden/>
              </w:rPr>
            </w:r>
            <w:r>
              <w:rPr>
                <w:noProof/>
                <w:webHidden/>
              </w:rPr>
              <w:fldChar w:fldCharType="separate"/>
            </w:r>
            <w:r>
              <w:rPr>
                <w:noProof/>
                <w:webHidden/>
              </w:rPr>
              <w:t>11</w:t>
            </w:r>
            <w:r>
              <w:rPr>
                <w:noProof/>
                <w:webHidden/>
              </w:rPr>
              <w:fldChar w:fldCharType="end"/>
            </w:r>
          </w:hyperlink>
        </w:p>
        <w:p w14:paraId="28556494" w14:textId="0769D832" w:rsidR="00753FE5" w:rsidRDefault="00753FE5">
          <w:pPr>
            <w:pStyle w:val="TOC3"/>
            <w:tabs>
              <w:tab w:val="right" w:leader="dot" w:pos="9350"/>
            </w:tabs>
            <w:rPr>
              <w:noProof/>
              <w:kern w:val="2"/>
              <w:sz w:val="24"/>
              <w:szCs w:val="24"/>
              <w:lang w:val="en-CA" w:eastAsia="en-US"/>
              <w14:ligatures w14:val="standardContextual"/>
            </w:rPr>
          </w:pPr>
          <w:hyperlink w:anchor="_Toc236853440" w:history="1">
            <w:r w:rsidRPr="00D56D10">
              <w:rPr>
                <w:rStyle w:val="Hyperlink"/>
                <w:noProof/>
              </w:rPr>
              <w:t>AOV values after filter and denominator</w:t>
            </w:r>
            <w:r>
              <w:rPr>
                <w:noProof/>
                <w:webHidden/>
              </w:rPr>
              <w:tab/>
            </w:r>
            <w:r>
              <w:rPr>
                <w:noProof/>
                <w:webHidden/>
              </w:rPr>
              <w:fldChar w:fldCharType="begin"/>
            </w:r>
            <w:r>
              <w:rPr>
                <w:noProof/>
                <w:webHidden/>
              </w:rPr>
              <w:instrText xml:space="preserve"> PAGEREF _Toc236853440 \h </w:instrText>
            </w:r>
            <w:r>
              <w:rPr>
                <w:noProof/>
                <w:webHidden/>
              </w:rPr>
            </w:r>
            <w:r>
              <w:rPr>
                <w:noProof/>
                <w:webHidden/>
              </w:rPr>
              <w:fldChar w:fldCharType="separate"/>
            </w:r>
            <w:r>
              <w:rPr>
                <w:noProof/>
                <w:webHidden/>
              </w:rPr>
              <w:t>11</w:t>
            </w:r>
            <w:r>
              <w:rPr>
                <w:noProof/>
                <w:webHidden/>
              </w:rPr>
              <w:fldChar w:fldCharType="end"/>
            </w:r>
          </w:hyperlink>
        </w:p>
        <w:p w14:paraId="6F004B45" w14:textId="75801882"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41" w:history="1">
            <w:r w:rsidRPr="00D56D10">
              <w:rPr>
                <w:rStyle w:val="Hyperlink"/>
                <w:noProof/>
              </w:rPr>
              <w:t>Ethics, Privacy, Governance, and Responsible Marketing</w:t>
            </w:r>
            <w:r>
              <w:rPr>
                <w:noProof/>
                <w:webHidden/>
              </w:rPr>
              <w:tab/>
            </w:r>
            <w:r>
              <w:rPr>
                <w:noProof/>
                <w:webHidden/>
              </w:rPr>
              <w:fldChar w:fldCharType="begin"/>
            </w:r>
            <w:r>
              <w:rPr>
                <w:noProof/>
                <w:webHidden/>
              </w:rPr>
              <w:instrText xml:space="preserve"> PAGEREF _Toc236853441 \h </w:instrText>
            </w:r>
            <w:r>
              <w:rPr>
                <w:noProof/>
                <w:webHidden/>
              </w:rPr>
            </w:r>
            <w:r>
              <w:rPr>
                <w:noProof/>
                <w:webHidden/>
              </w:rPr>
              <w:fldChar w:fldCharType="separate"/>
            </w:r>
            <w:r>
              <w:rPr>
                <w:noProof/>
                <w:webHidden/>
              </w:rPr>
              <w:t>11</w:t>
            </w:r>
            <w:r>
              <w:rPr>
                <w:noProof/>
                <w:webHidden/>
              </w:rPr>
              <w:fldChar w:fldCharType="end"/>
            </w:r>
          </w:hyperlink>
        </w:p>
        <w:p w14:paraId="7954772C" w14:textId="369627A9"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42" w:history="1">
            <w:r w:rsidRPr="00D56D10">
              <w:rPr>
                <w:rStyle w:val="Hyperlink"/>
                <w:noProof/>
              </w:rPr>
              <w:t>Analytical privacy and regulatory compliance recommendation</w:t>
            </w:r>
            <w:r>
              <w:rPr>
                <w:noProof/>
                <w:webHidden/>
              </w:rPr>
              <w:tab/>
            </w:r>
            <w:r>
              <w:rPr>
                <w:noProof/>
                <w:webHidden/>
              </w:rPr>
              <w:fldChar w:fldCharType="begin"/>
            </w:r>
            <w:r>
              <w:rPr>
                <w:noProof/>
                <w:webHidden/>
              </w:rPr>
              <w:instrText xml:space="preserve"> PAGEREF _Toc236853442 \h </w:instrText>
            </w:r>
            <w:r>
              <w:rPr>
                <w:noProof/>
                <w:webHidden/>
              </w:rPr>
            </w:r>
            <w:r>
              <w:rPr>
                <w:noProof/>
                <w:webHidden/>
              </w:rPr>
              <w:fldChar w:fldCharType="separate"/>
            </w:r>
            <w:r>
              <w:rPr>
                <w:noProof/>
                <w:webHidden/>
              </w:rPr>
              <w:t>12</w:t>
            </w:r>
            <w:r>
              <w:rPr>
                <w:noProof/>
                <w:webHidden/>
              </w:rPr>
              <w:fldChar w:fldCharType="end"/>
            </w:r>
          </w:hyperlink>
        </w:p>
        <w:p w14:paraId="386CBC69" w14:textId="61B94784" w:rsidR="00753FE5" w:rsidRDefault="00753FE5">
          <w:pPr>
            <w:pStyle w:val="TOC1"/>
            <w:tabs>
              <w:tab w:val="right" w:leader="dot" w:pos="9350"/>
            </w:tabs>
            <w:rPr>
              <w:b w:val="0"/>
              <w:bCs w:val="0"/>
              <w:i w:val="0"/>
              <w:iCs w:val="0"/>
              <w:noProof/>
              <w:kern w:val="2"/>
              <w:lang w:val="en-CA" w:eastAsia="en-US"/>
              <w14:ligatures w14:val="standardContextual"/>
            </w:rPr>
          </w:pPr>
          <w:hyperlink w:anchor="_Toc236853443" w:history="1">
            <w:r w:rsidRPr="00D56D10">
              <w:rPr>
                <w:rStyle w:val="Hyperlink"/>
                <w:noProof/>
              </w:rPr>
              <w:t>RECOMMENDATION &amp; NEXT STEPS</w:t>
            </w:r>
            <w:r>
              <w:rPr>
                <w:noProof/>
                <w:webHidden/>
              </w:rPr>
              <w:tab/>
            </w:r>
            <w:r>
              <w:rPr>
                <w:noProof/>
                <w:webHidden/>
              </w:rPr>
              <w:fldChar w:fldCharType="begin"/>
            </w:r>
            <w:r>
              <w:rPr>
                <w:noProof/>
                <w:webHidden/>
              </w:rPr>
              <w:instrText xml:space="preserve"> PAGEREF _Toc236853443 \h </w:instrText>
            </w:r>
            <w:r>
              <w:rPr>
                <w:noProof/>
                <w:webHidden/>
              </w:rPr>
            </w:r>
            <w:r>
              <w:rPr>
                <w:noProof/>
                <w:webHidden/>
              </w:rPr>
              <w:fldChar w:fldCharType="separate"/>
            </w:r>
            <w:r>
              <w:rPr>
                <w:noProof/>
                <w:webHidden/>
              </w:rPr>
              <w:t>13</w:t>
            </w:r>
            <w:r>
              <w:rPr>
                <w:noProof/>
                <w:webHidden/>
              </w:rPr>
              <w:fldChar w:fldCharType="end"/>
            </w:r>
          </w:hyperlink>
        </w:p>
        <w:p w14:paraId="3E84D180" w14:textId="46DDE9C7"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44" w:history="1">
            <w:r w:rsidRPr="00D56D10">
              <w:rPr>
                <w:rStyle w:val="Hyperlink"/>
                <w:noProof/>
              </w:rPr>
              <w:t>Strategic Recommendations</w:t>
            </w:r>
            <w:r>
              <w:rPr>
                <w:noProof/>
                <w:webHidden/>
              </w:rPr>
              <w:tab/>
            </w:r>
            <w:r>
              <w:rPr>
                <w:noProof/>
                <w:webHidden/>
              </w:rPr>
              <w:fldChar w:fldCharType="begin"/>
            </w:r>
            <w:r>
              <w:rPr>
                <w:noProof/>
                <w:webHidden/>
              </w:rPr>
              <w:instrText xml:space="preserve"> PAGEREF _Toc236853444 \h </w:instrText>
            </w:r>
            <w:r>
              <w:rPr>
                <w:noProof/>
                <w:webHidden/>
              </w:rPr>
            </w:r>
            <w:r>
              <w:rPr>
                <w:noProof/>
                <w:webHidden/>
              </w:rPr>
              <w:fldChar w:fldCharType="separate"/>
            </w:r>
            <w:r>
              <w:rPr>
                <w:noProof/>
                <w:webHidden/>
              </w:rPr>
              <w:t>13</w:t>
            </w:r>
            <w:r>
              <w:rPr>
                <w:noProof/>
                <w:webHidden/>
              </w:rPr>
              <w:fldChar w:fldCharType="end"/>
            </w:r>
          </w:hyperlink>
        </w:p>
        <w:p w14:paraId="0865EEAD" w14:textId="12517A05"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45" w:history="1">
            <w:r w:rsidRPr="00D56D10">
              <w:rPr>
                <w:rStyle w:val="Hyperlink"/>
                <w:noProof/>
              </w:rPr>
              <w:t>90-Day Action Plan</w:t>
            </w:r>
            <w:r>
              <w:rPr>
                <w:noProof/>
                <w:webHidden/>
              </w:rPr>
              <w:tab/>
            </w:r>
            <w:r>
              <w:rPr>
                <w:noProof/>
                <w:webHidden/>
              </w:rPr>
              <w:fldChar w:fldCharType="begin"/>
            </w:r>
            <w:r>
              <w:rPr>
                <w:noProof/>
                <w:webHidden/>
              </w:rPr>
              <w:instrText xml:space="preserve"> PAGEREF _Toc236853445 \h </w:instrText>
            </w:r>
            <w:r>
              <w:rPr>
                <w:noProof/>
                <w:webHidden/>
              </w:rPr>
            </w:r>
            <w:r>
              <w:rPr>
                <w:noProof/>
                <w:webHidden/>
              </w:rPr>
              <w:fldChar w:fldCharType="separate"/>
            </w:r>
            <w:r>
              <w:rPr>
                <w:noProof/>
                <w:webHidden/>
              </w:rPr>
              <w:t>14</w:t>
            </w:r>
            <w:r>
              <w:rPr>
                <w:noProof/>
                <w:webHidden/>
              </w:rPr>
              <w:fldChar w:fldCharType="end"/>
            </w:r>
          </w:hyperlink>
        </w:p>
        <w:p w14:paraId="498207C9" w14:textId="783BE3FC" w:rsidR="00753FE5" w:rsidRDefault="00753FE5">
          <w:pPr>
            <w:pStyle w:val="TOC3"/>
            <w:tabs>
              <w:tab w:val="right" w:leader="dot" w:pos="9350"/>
            </w:tabs>
            <w:rPr>
              <w:noProof/>
              <w:kern w:val="2"/>
              <w:sz w:val="24"/>
              <w:szCs w:val="24"/>
              <w:lang w:val="en-CA" w:eastAsia="en-US"/>
              <w14:ligatures w14:val="standardContextual"/>
            </w:rPr>
          </w:pPr>
          <w:hyperlink w:anchor="_Toc236853446" w:history="1">
            <w:r w:rsidRPr="00D56D10">
              <w:rPr>
                <w:rStyle w:val="Hyperlink"/>
                <w:noProof/>
              </w:rPr>
              <w:t>Expected Management Outcomes</w:t>
            </w:r>
            <w:r>
              <w:rPr>
                <w:noProof/>
                <w:webHidden/>
              </w:rPr>
              <w:tab/>
            </w:r>
            <w:r>
              <w:rPr>
                <w:noProof/>
                <w:webHidden/>
              </w:rPr>
              <w:fldChar w:fldCharType="begin"/>
            </w:r>
            <w:r>
              <w:rPr>
                <w:noProof/>
                <w:webHidden/>
              </w:rPr>
              <w:instrText xml:space="preserve"> PAGEREF _Toc236853446 \h </w:instrText>
            </w:r>
            <w:r>
              <w:rPr>
                <w:noProof/>
                <w:webHidden/>
              </w:rPr>
            </w:r>
            <w:r>
              <w:rPr>
                <w:noProof/>
                <w:webHidden/>
              </w:rPr>
              <w:fldChar w:fldCharType="separate"/>
            </w:r>
            <w:r>
              <w:rPr>
                <w:noProof/>
                <w:webHidden/>
              </w:rPr>
              <w:t>14</w:t>
            </w:r>
            <w:r>
              <w:rPr>
                <w:noProof/>
                <w:webHidden/>
              </w:rPr>
              <w:fldChar w:fldCharType="end"/>
            </w:r>
          </w:hyperlink>
        </w:p>
        <w:p w14:paraId="1C7198EA" w14:textId="54495B6F"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47" w:history="1">
            <w:r w:rsidRPr="00D56D10">
              <w:rPr>
                <w:rStyle w:val="Hyperlink"/>
                <w:noProof/>
              </w:rPr>
              <w:t>Conclusion</w:t>
            </w:r>
            <w:r>
              <w:rPr>
                <w:noProof/>
                <w:webHidden/>
              </w:rPr>
              <w:tab/>
            </w:r>
            <w:r>
              <w:rPr>
                <w:noProof/>
                <w:webHidden/>
              </w:rPr>
              <w:fldChar w:fldCharType="begin"/>
            </w:r>
            <w:r>
              <w:rPr>
                <w:noProof/>
                <w:webHidden/>
              </w:rPr>
              <w:instrText xml:space="preserve"> PAGEREF _Toc236853447 \h </w:instrText>
            </w:r>
            <w:r>
              <w:rPr>
                <w:noProof/>
                <w:webHidden/>
              </w:rPr>
            </w:r>
            <w:r>
              <w:rPr>
                <w:noProof/>
                <w:webHidden/>
              </w:rPr>
              <w:fldChar w:fldCharType="separate"/>
            </w:r>
            <w:r>
              <w:rPr>
                <w:noProof/>
                <w:webHidden/>
              </w:rPr>
              <w:t>14</w:t>
            </w:r>
            <w:r>
              <w:rPr>
                <w:noProof/>
                <w:webHidden/>
              </w:rPr>
              <w:fldChar w:fldCharType="end"/>
            </w:r>
          </w:hyperlink>
        </w:p>
        <w:p w14:paraId="4D041C41" w14:textId="01FE07BC" w:rsidR="00753FE5" w:rsidRDefault="00753FE5">
          <w:pPr>
            <w:pStyle w:val="TOC1"/>
            <w:tabs>
              <w:tab w:val="right" w:leader="dot" w:pos="9350"/>
            </w:tabs>
            <w:rPr>
              <w:b w:val="0"/>
              <w:bCs w:val="0"/>
              <w:i w:val="0"/>
              <w:iCs w:val="0"/>
              <w:noProof/>
              <w:kern w:val="2"/>
              <w:lang w:val="en-CA" w:eastAsia="en-US"/>
              <w14:ligatures w14:val="standardContextual"/>
            </w:rPr>
          </w:pPr>
          <w:hyperlink w:anchor="_Toc236853448" w:history="1">
            <w:r w:rsidRPr="00D56D10">
              <w:rPr>
                <w:rStyle w:val="Hyperlink"/>
                <w:noProof/>
              </w:rPr>
              <w:t>APPENDICES</w:t>
            </w:r>
            <w:r>
              <w:rPr>
                <w:noProof/>
                <w:webHidden/>
              </w:rPr>
              <w:tab/>
            </w:r>
            <w:r>
              <w:rPr>
                <w:noProof/>
                <w:webHidden/>
              </w:rPr>
              <w:fldChar w:fldCharType="begin"/>
            </w:r>
            <w:r>
              <w:rPr>
                <w:noProof/>
                <w:webHidden/>
              </w:rPr>
              <w:instrText xml:space="preserve"> PAGEREF _Toc236853448 \h </w:instrText>
            </w:r>
            <w:r>
              <w:rPr>
                <w:noProof/>
                <w:webHidden/>
              </w:rPr>
            </w:r>
            <w:r>
              <w:rPr>
                <w:noProof/>
                <w:webHidden/>
              </w:rPr>
              <w:fldChar w:fldCharType="separate"/>
            </w:r>
            <w:r>
              <w:rPr>
                <w:noProof/>
                <w:webHidden/>
              </w:rPr>
              <w:t>15</w:t>
            </w:r>
            <w:r>
              <w:rPr>
                <w:noProof/>
                <w:webHidden/>
              </w:rPr>
              <w:fldChar w:fldCharType="end"/>
            </w:r>
          </w:hyperlink>
        </w:p>
        <w:p w14:paraId="31BCBBE3" w14:textId="737AC7F2"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49" w:history="1">
            <w:r w:rsidRPr="00D56D10">
              <w:rPr>
                <w:rStyle w:val="Hyperlink"/>
                <w:noProof/>
              </w:rPr>
              <w:t>Appendix A: Metric Definition and Reconciliation</w:t>
            </w:r>
            <w:r>
              <w:rPr>
                <w:noProof/>
                <w:webHidden/>
              </w:rPr>
              <w:tab/>
            </w:r>
            <w:r>
              <w:rPr>
                <w:noProof/>
                <w:webHidden/>
              </w:rPr>
              <w:fldChar w:fldCharType="begin"/>
            </w:r>
            <w:r>
              <w:rPr>
                <w:noProof/>
                <w:webHidden/>
              </w:rPr>
              <w:instrText xml:space="preserve"> PAGEREF _Toc236853449 \h </w:instrText>
            </w:r>
            <w:r>
              <w:rPr>
                <w:noProof/>
                <w:webHidden/>
              </w:rPr>
            </w:r>
            <w:r>
              <w:rPr>
                <w:noProof/>
                <w:webHidden/>
              </w:rPr>
              <w:fldChar w:fldCharType="separate"/>
            </w:r>
            <w:r>
              <w:rPr>
                <w:noProof/>
                <w:webHidden/>
              </w:rPr>
              <w:t>15</w:t>
            </w:r>
            <w:r>
              <w:rPr>
                <w:noProof/>
                <w:webHidden/>
              </w:rPr>
              <w:fldChar w:fldCharType="end"/>
            </w:r>
          </w:hyperlink>
        </w:p>
        <w:p w14:paraId="3080B7E0" w14:textId="1DA698EB" w:rsidR="00753FE5" w:rsidRDefault="00753FE5">
          <w:pPr>
            <w:pStyle w:val="TOC3"/>
            <w:tabs>
              <w:tab w:val="right" w:leader="dot" w:pos="9350"/>
            </w:tabs>
            <w:rPr>
              <w:noProof/>
              <w:kern w:val="2"/>
              <w:sz w:val="24"/>
              <w:szCs w:val="24"/>
              <w:lang w:val="en-CA" w:eastAsia="en-US"/>
              <w14:ligatures w14:val="standardContextual"/>
            </w:rPr>
          </w:pPr>
          <w:hyperlink w:anchor="_Toc236853450" w:history="1">
            <w:r w:rsidRPr="00D56D10">
              <w:rPr>
                <w:rStyle w:val="Hyperlink"/>
                <w:b/>
                <w:noProof/>
              </w:rPr>
              <w:t>Figure 6</w:t>
            </w:r>
            <w:r w:rsidRPr="00D56D10">
              <w:rPr>
                <w:rStyle w:val="Hyperlink"/>
                <w:noProof/>
              </w:rPr>
              <w:t>: Python Validation of Actual and Forecast Net Sales</w:t>
            </w:r>
            <w:r>
              <w:rPr>
                <w:noProof/>
                <w:webHidden/>
              </w:rPr>
              <w:tab/>
            </w:r>
            <w:r>
              <w:rPr>
                <w:noProof/>
                <w:webHidden/>
              </w:rPr>
              <w:fldChar w:fldCharType="begin"/>
            </w:r>
            <w:r>
              <w:rPr>
                <w:noProof/>
                <w:webHidden/>
              </w:rPr>
              <w:instrText xml:space="preserve"> PAGEREF _Toc236853450 \h </w:instrText>
            </w:r>
            <w:r>
              <w:rPr>
                <w:noProof/>
                <w:webHidden/>
              </w:rPr>
            </w:r>
            <w:r>
              <w:rPr>
                <w:noProof/>
                <w:webHidden/>
              </w:rPr>
              <w:fldChar w:fldCharType="separate"/>
            </w:r>
            <w:r>
              <w:rPr>
                <w:noProof/>
                <w:webHidden/>
              </w:rPr>
              <w:t>15</w:t>
            </w:r>
            <w:r>
              <w:rPr>
                <w:noProof/>
                <w:webHidden/>
              </w:rPr>
              <w:fldChar w:fldCharType="end"/>
            </w:r>
          </w:hyperlink>
        </w:p>
        <w:p w14:paraId="551ADFFE" w14:textId="7E67DF5A"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51" w:history="1">
            <w:r w:rsidRPr="00D56D10">
              <w:rPr>
                <w:rStyle w:val="Hyperlink"/>
                <w:noProof/>
              </w:rPr>
              <w:t>Appendix B: Data Quality and Analytical Limitations</w:t>
            </w:r>
            <w:r>
              <w:rPr>
                <w:noProof/>
                <w:webHidden/>
              </w:rPr>
              <w:tab/>
            </w:r>
            <w:r>
              <w:rPr>
                <w:noProof/>
                <w:webHidden/>
              </w:rPr>
              <w:fldChar w:fldCharType="begin"/>
            </w:r>
            <w:r>
              <w:rPr>
                <w:noProof/>
                <w:webHidden/>
              </w:rPr>
              <w:instrText xml:space="preserve"> PAGEREF _Toc236853451 \h </w:instrText>
            </w:r>
            <w:r>
              <w:rPr>
                <w:noProof/>
                <w:webHidden/>
              </w:rPr>
            </w:r>
            <w:r>
              <w:rPr>
                <w:noProof/>
                <w:webHidden/>
              </w:rPr>
              <w:fldChar w:fldCharType="separate"/>
            </w:r>
            <w:r>
              <w:rPr>
                <w:noProof/>
                <w:webHidden/>
              </w:rPr>
              <w:t>16</w:t>
            </w:r>
            <w:r>
              <w:rPr>
                <w:noProof/>
                <w:webHidden/>
              </w:rPr>
              <w:fldChar w:fldCharType="end"/>
            </w:r>
          </w:hyperlink>
        </w:p>
        <w:p w14:paraId="03100864" w14:textId="3CB6DEF6" w:rsidR="00753FE5" w:rsidRDefault="00753FE5">
          <w:pPr>
            <w:pStyle w:val="TOC3"/>
            <w:tabs>
              <w:tab w:val="right" w:leader="dot" w:pos="9350"/>
            </w:tabs>
            <w:rPr>
              <w:noProof/>
              <w:kern w:val="2"/>
              <w:sz w:val="24"/>
              <w:szCs w:val="24"/>
              <w:lang w:val="en-CA" w:eastAsia="en-US"/>
              <w14:ligatures w14:val="standardContextual"/>
            </w:rPr>
          </w:pPr>
          <w:hyperlink w:anchor="_Toc236853452" w:history="1">
            <w:r w:rsidRPr="00D56D10">
              <w:rPr>
                <w:rStyle w:val="Hyperlink"/>
                <w:noProof/>
              </w:rPr>
              <w:t>Data Quality Controls for Future Refreshes</w:t>
            </w:r>
            <w:r>
              <w:rPr>
                <w:noProof/>
                <w:webHidden/>
              </w:rPr>
              <w:tab/>
            </w:r>
            <w:r>
              <w:rPr>
                <w:noProof/>
                <w:webHidden/>
              </w:rPr>
              <w:fldChar w:fldCharType="begin"/>
            </w:r>
            <w:r>
              <w:rPr>
                <w:noProof/>
                <w:webHidden/>
              </w:rPr>
              <w:instrText xml:space="preserve"> PAGEREF _Toc236853452 \h </w:instrText>
            </w:r>
            <w:r>
              <w:rPr>
                <w:noProof/>
                <w:webHidden/>
              </w:rPr>
            </w:r>
            <w:r>
              <w:rPr>
                <w:noProof/>
                <w:webHidden/>
              </w:rPr>
              <w:fldChar w:fldCharType="separate"/>
            </w:r>
            <w:r>
              <w:rPr>
                <w:noProof/>
                <w:webHidden/>
              </w:rPr>
              <w:t>16</w:t>
            </w:r>
            <w:r>
              <w:rPr>
                <w:noProof/>
                <w:webHidden/>
              </w:rPr>
              <w:fldChar w:fldCharType="end"/>
            </w:r>
          </w:hyperlink>
        </w:p>
        <w:p w14:paraId="191E9423" w14:textId="3AEEE95E"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53" w:history="1">
            <w:r w:rsidRPr="00D56D10">
              <w:rPr>
                <w:rStyle w:val="Hyperlink"/>
                <w:noProof/>
              </w:rPr>
              <w:t>Appendix C: Python Workflow and Reproducibility</w:t>
            </w:r>
            <w:r>
              <w:rPr>
                <w:noProof/>
                <w:webHidden/>
              </w:rPr>
              <w:tab/>
            </w:r>
            <w:r>
              <w:rPr>
                <w:noProof/>
                <w:webHidden/>
              </w:rPr>
              <w:fldChar w:fldCharType="begin"/>
            </w:r>
            <w:r>
              <w:rPr>
                <w:noProof/>
                <w:webHidden/>
              </w:rPr>
              <w:instrText xml:space="preserve"> PAGEREF _Toc236853453 \h </w:instrText>
            </w:r>
            <w:r>
              <w:rPr>
                <w:noProof/>
                <w:webHidden/>
              </w:rPr>
            </w:r>
            <w:r>
              <w:rPr>
                <w:noProof/>
                <w:webHidden/>
              </w:rPr>
              <w:fldChar w:fldCharType="separate"/>
            </w:r>
            <w:r>
              <w:rPr>
                <w:noProof/>
                <w:webHidden/>
              </w:rPr>
              <w:t>16</w:t>
            </w:r>
            <w:r>
              <w:rPr>
                <w:noProof/>
                <w:webHidden/>
              </w:rPr>
              <w:fldChar w:fldCharType="end"/>
            </w:r>
          </w:hyperlink>
        </w:p>
        <w:p w14:paraId="4525B1D9" w14:textId="28C1CBEB" w:rsidR="00753FE5" w:rsidRDefault="00753FE5">
          <w:pPr>
            <w:pStyle w:val="TOC3"/>
            <w:tabs>
              <w:tab w:val="right" w:leader="dot" w:pos="9350"/>
            </w:tabs>
            <w:rPr>
              <w:noProof/>
              <w:kern w:val="2"/>
              <w:sz w:val="24"/>
              <w:szCs w:val="24"/>
              <w:lang w:val="en-CA" w:eastAsia="en-US"/>
              <w14:ligatures w14:val="standardContextual"/>
            </w:rPr>
          </w:pPr>
          <w:hyperlink w:anchor="_Toc236853454" w:history="1">
            <w:r w:rsidRPr="00D56D10">
              <w:rPr>
                <w:rStyle w:val="Hyperlink"/>
                <w:noProof/>
              </w:rPr>
              <w:t>Reproducible Output Checks</w:t>
            </w:r>
            <w:r>
              <w:rPr>
                <w:noProof/>
                <w:webHidden/>
              </w:rPr>
              <w:tab/>
            </w:r>
            <w:r>
              <w:rPr>
                <w:noProof/>
                <w:webHidden/>
              </w:rPr>
              <w:fldChar w:fldCharType="begin"/>
            </w:r>
            <w:r>
              <w:rPr>
                <w:noProof/>
                <w:webHidden/>
              </w:rPr>
              <w:instrText xml:space="preserve"> PAGEREF _Toc236853454 \h </w:instrText>
            </w:r>
            <w:r>
              <w:rPr>
                <w:noProof/>
                <w:webHidden/>
              </w:rPr>
            </w:r>
            <w:r>
              <w:rPr>
                <w:noProof/>
                <w:webHidden/>
              </w:rPr>
              <w:fldChar w:fldCharType="separate"/>
            </w:r>
            <w:r>
              <w:rPr>
                <w:noProof/>
                <w:webHidden/>
              </w:rPr>
              <w:t>17</w:t>
            </w:r>
            <w:r>
              <w:rPr>
                <w:noProof/>
                <w:webHidden/>
              </w:rPr>
              <w:fldChar w:fldCharType="end"/>
            </w:r>
          </w:hyperlink>
        </w:p>
        <w:p w14:paraId="5224A5FA" w14:textId="6CEF2B23" w:rsidR="00753FE5" w:rsidRDefault="00753FE5">
          <w:pPr>
            <w:pStyle w:val="TOC2"/>
            <w:tabs>
              <w:tab w:val="right" w:leader="dot" w:pos="9350"/>
            </w:tabs>
            <w:rPr>
              <w:b w:val="0"/>
              <w:bCs w:val="0"/>
              <w:noProof/>
              <w:kern w:val="2"/>
              <w:sz w:val="24"/>
              <w:szCs w:val="24"/>
              <w:lang w:val="en-CA" w:eastAsia="en-US"/>
              <w14:ligatures w14:val="standardContextual"/>
            </w:rPr>
          </w:pPr>
          <w:hyperlink w:anchor="_Toc236853455" w:history="1">
            <w:r w:rsidRPr="00D56D10">
              <w:rPr>
                <w:rStyle w:val="Hyperlink"/>
                <w:noProof/>
              </w:rPr>
              <w:t>Appendix D: Dashboard Rubric and Accessibility Checklist</w:t>
            </w:r>
            <w:r>
              <w:rPr>
                <w:noProof/>
                <w:webHidden/>
              </w:rPr>
              <w:tab/>
            </w:r>
            <w:r>
              <w:rPr>
                <w:noProof/>
                <w:webHidden/>
              </w:rPr>
              <w:fldChar w:fldCharType="begin"/>
            </w:r>
            <w:r>
              <w:rPr>
                <w:noProof/>
                <w:webHidden/>
              </w:rPr>
              <w:instrText xml:space="preserve"> PAGEREF _Toc236853455 \h </w:instrText>
            </w:r>
            <w:r>
              <w:rPr>
                <w:noProof/>
                <w:webHidden/>
              </w:rPr>
            </w:r>
            <w:r>
              <w:rPr>
                <w:noProof/>
                <w:webHidden/>
              </w:rPr>
              <w:fldChar w:fldCharType="separate"/>
            </w:r>
            <w:r>
              <w:rPr>
                <w:noProof/>
                <w:webHidden/>
              </w:rPr>
              <w:t>17</w:t>
            </w:r>
            <w:r>
              <w:rPr>
                <w:noProof/>
                <w:webHidden/>
              </w:rPr>
              <w:fldChar w:fldCharType="end"/>
            </w:r>
          </w:hyperlink>
        </w:p>
        <w:p w14:paraId="630040FC" w14:textId="152C19B6" w:rsidR="00753FE5" w:rsidRDefault="00753FE5">
          <w:pPr>
            <w:pStyle w:val="TOC3"/>
            <w:tabs>
              <w:tab w:val="right" w:leader="dot" w:pos="9350"/>
            </w:tabs>
            <w:rPr>
              <w:noProof/>
              <w:kern w:val="2"/>
              <w:sz w:val="24"/>
              <w:szCs w:val="24"/>
              <w:lang w:val="en-CA" w:eastAsia="en-US"/>
              <w14:ligatures w14:val="standardContextual"/>
            </w:rPr>
          </w:pPr>
          <w:hyperlink w:anchor="_Toc236853456" w:history="1">
            <w:r w:rsidRPr="00D56D10">
              <w:rPr>
                <w:rStyle w:val="Hyperlink"/>
                <w:noProof/>
              </w:rPr>
              <w:t>Suggested Executive Dashboard Navigation</w:t>
            </w:r>
            <w:r>
              <w:rPr>
                <w:noProof/>
                <w:webHidden/>
              </w:rPr>
              <w:tab/>
            </w:r>
            <w:r>
              <w:rPr>
                <w:noProof/>
                <w:webHidden/>
              </w:rPr>
              <w:fldChar w:fldCharType="begin"/>
            </w:r>
            <w:r>
              <w:rPr>
                <w:noProof/>
                <w:webHidden/>
              </w:rPr>
              <w:instrText xml:space="preserve"> PAGEREF _Toc236853456 \h </w:instrText>
            </w:r>
            <w:r>
              <w:rPr>
                <w:noProof/>
                <w:webHidden/>
              </w:rPr>
            </w:r>
            <w:r>
              <w:rPr>
                <w:noProof/>
                <w:webHidden/>
              </w:rPr>
              <w:fldChar w:fldCharType="separate"/>
            </w:r>
            <w:r>
              <w:rPr>
                <w:noProof/>
                <w:webHidden/>
              </w:rPr>
              <w:t>18</w:t>
            </w:r>
            <w:r>
              <w:rPr>
                <w:noProof/>
                <w:webHidden/>
              </w:rPr>
              <w:fldChar w:fldCharType="end"/>
            </w:r>
          </w:hyperlink>
        </w:p>
        <w:p w14:paraId="1BC9E33C" w14:textId="0325BED3" w:rsidR="00753FE5" w:rsidRDefault="00753FE5">
          <w:pPr>
            <w:pStyle w:val="TOC1"/>
            <w:tabs>
              <w:tab w:val="right" w:leader="dot" w:pos="9350"/>
            </w:tabs>
            <w:rPr>
              <w:b w:val="0"/>
              <w:bCs w:val="0"/>
              <w:i w:val="0"/>
              <w:iCs w:val="0"/>
              <w:noProof/>
              <w:kern w:val="2"/>
              <w:lang w:val="en-CA" w:eastAsia="en-US"/>
              <w14:ligatures w14:val="standardContextual"/>
            </w:rPr>
          </w:pPr>
          <w:hyperlink w:anchor="_Toc236853457" w:history="1">
            <w:r w:rsidRPr="00D56D10">
              <w:rPr>
                <w:rStyle w:val="Hyperlink"/>
                <w:noProof/>
              </w:rPr>
              <w:t>REFERENCES</w:t>
            </w:r>
            <w:r>
              <w:rPr>
                <w:noProof/>
                <w:webHidden/>
              </w:rPr>
              <w:tab/>
            </w:r>
            <w:r>
              <w:rPr>
                <w:noProof/>
                <w:webHidden/>
              </w:rPr>
              <w:fldChar w:fldCharType="begin"/>
            </w:r>
            <w:r>
              <w:rPr>
                <w:noProof/>
                <w:webHidden/>
              </w:rPr>
              <w:instrText xml:space="preserve"> PAGEREF _Toc236853457 \h </w:instrText>
            </w:r>
            <w:r>
              <w:rPr>
                <w:noProof/>
                <w:webHidden/>
              </w:rPr>
            </w:r>
            <w:r>
              <w:rPr>
                <w:noProof/>
                <w:webHidden/>
              </w:rPr>
              <w:fldChar w:fldCharType="separate"/>
            </w:r>
            <w:r>
              <w:rPr>
                <w:noProof/>
                <w:webHidden/>
              </w:rPr>
              <w:t>19</w:t>
            </w:r>
            <w:r>
              <w:rPr>
                <w:noProof/>
                <w:webHidden/>
              </w:rPr>
              <w:fldChar w:fldCharType="end"/>
            </w:r>
          </w:hyperlink>
        </w:p>
        <w:p w14:paraId="0E86FA99" w14:textId="2B1F268D" w:rsidR="001C3067" w:rsidRDefault="001C3067">
          <w:r>
            <w:rPr>
              <w:b/>
              <w:bCs/>
              <w:noProof/>
            </w:rPr>
            <w:fldChar w:fldCharType="end"/>
          </w:r>
        </w:p>
      </w:sdtContent>
    </w:sdt>
    <w:p w14:paraId="213BF5E7" w14:textId="77777777" w:rsidR="001C3067" w:rsidRDefault="001C3067" w:rsidP="001C3067">
      <w:pPr>
        <w:pStyle w:val="Heading1"/>
      </w:pPr>
    </w:p>
    <w:p w14:paraId="474BFD77" w14:textId="77777777" w:rsidR="001C3067" w:rsidRDefault="001C3067" w:rsidP="001C3067"/>
    <w:p w14:paraId="5B5F73AD" w14:textId="77777777" w:rsidR="001C3067" w:rsidRDefault="001C3067" w:rsidP="001C3067"/>
    <w:p w14:paraId="39C7C9CF" w14:textId="77777777" w:rsidR="001C3067" w:rsidRDefault="001C3067" w:rsidP="001C3067"/>
    <w:p w14:paraId="4BAFD94A" w14:textId="77777777" w:rsidR="001C3067" w:rsidRDefault="001C3067" w:rsidP="001C3067"/>
    <w:p w14:paraId="1C3F970E" w14:textId="77777777" w:rsidR="001C3067" w:rsidRDefault="001C3067" w:rsidP="001C3067"/>
    <w:p w14:paraId="5C2A4434" w14:textId="77777777" w:rsidR="001C3067" w:rsidRDefault="001C3067" w:rsidP="001C3067"/>
    <w:p w14:paraId="016E9952" w14:textId="77777777" w:rsidR="001C3067" w:rsidRDefault="001C3067" w:rsidP="001C3067"/>
    <w:p w14:paraId="7A098FF6" w14:textId="77777777" w:rsidR="001C3067" w:rsidRDefault="001C3067" w:rsidP="001C3067"/>
    <w:p w14:paraId="0A2DF07C" w14:textId="77777777" w:rsidR="001C3067" w:rsidRDefault="001C3067" w:rsidP="001C3067"/>
    <w:p w14:paraId="61D1935A" w14:textId="77777777" w:rsidR="001C3067" w:rsidRPr="001C3067" w:rsidRDefault="001C3067" w:rsidP="001C3067"/>
    <w:p w14:paraId="66584089" w14:textId="0E34F8DD" w:rsidR="006C7222" w:rsidRPr="006F4D4C" w:rsidRDefault="006C7222" w:rsidP="001C3067">
      <w:pPr>
        <w:pStyle w:val="Heading1"/>
      </w:pPr>
      <w:bookmarkStart w:id="1" w:name="_Toc236853413"/>
      <w:r w:rsidRPr="006F4D4C">
        <w:lastRenderedPageBreak/>
        <w:t>EXECUTIVE SUMMARY</w:t>
      </w:r>
      <w:bookmarkEnd w:id="1"/>
    </w:p>
    <w:p w14:paraId="3DB5CB97" w14:textId="55935229" w:rsidR="00C878A6" w:rsidRPr="006F4D4C" w:rsidRDefault="00C878A6">
      <w:pPr>
        <w:rPr>
          <w:rFonts w:ascii="Arial" w:hAnsi="Arial" w:cs="Arial"/>
          <w:sz w:val="22"/>
          <w:szCs w:val="22"/>
        </w:rPr>
      </w:pPr>
      <w:r w:rsidRPr="006F4D4C">
        <w:rPr>
          <w:rStyle w:val="cursor-pointer"/>
          <w:rFonts w:ascii="Arial" w:hAnsi="Arial" w:cs="Arial"/>
          <w:sz w:val="22"/>
          <w:szCs w:val="22"/>
        </w:rPr>
        <w:t>Canada Vapes has a solid sales position and a solid future to grow the business.</w:t>
      </w:r>
      <w:r w:rsidRPr="006F4D4C">
        <w:rPr>
          <w:rFonts w:ascii="Arial" w:hAnsi="Arial" w:cs="Arial"/>
          <w:sz w:val="22"/>
          <w:szCs w:val="22"/>
        </w:rPr>
        <w:t xml:space="preserve"> </w:t>
      </w:r>
      <w:r w:rsidRPr="006F4D4C">
        <w:rPr>
          <w:rStyle w:val="cursor-pointer"/>
          <w:rFonts w:ascii="Arial" w:hAnsi="Arial" w:cs="Arial"/>
          <w:sz w:val="22"/>
          <w:szCs w:val="22"/>
        </w:rPr>
        <w:t>Python validated 177,142 orders that were for positive values, 22,569 identifiable customers and $18,173,726 in completed net sales.</w:t>
      </w:r>
      <w:r w:rsidRPr="006F4D4C">
        <w:rPr>
          <w:rFonts w:ascii="Arial" w:hAnsi="Arial" w:cs="Arial"/>
          <w:sz w:val="22"/>
          <w:szCs w:val="22"/>
        </w:rPr>
        <w:t xml:space="preserve"> </w:t>
      </w:r>
      <w:r w:rsidRPr="006F4D4C">
        <w:rPr>
          <w:rStyle w:val="cursor-pointer"/>
          <w:rFonts w:ascii="Arial" w:hAnsi="Arial" w:cs="Arial"/>
          <w:sz w:val="22"/>
          <w:szCs w:val="22"/>
        </w:rPr>
        <w:t>There is a slight difference (A</w:t>
      </w:r>
      <w:r w:rsidR="00856F00" w:rsidRPr="006F4D4C">
        <w:rPr>
          <w:rStyle w:val="cursor-pointer"/>
          <w:rFonts w:ascii="Arial" w:hAnsi="Arial" w:cs="Arial"/>
          <w:sz w:val="22"/>
          <w:szCs w:val="22"/>
        </w:rPr>
        <w:t>OV</w:t>
      </w:r>
      <w:r w:rsidRPr="006F4D4C">
        <w:rPr>
          <w:rStyle w:val="cursor-pointer"/>
          <w:rFonts w:ascii="Arial" w:hAnsi="Arial" w:cs="Arial"/>
          <w:sz w:val="22"/>
          <w:szCs w:val="22"/>
        </w:rPr>
        <w:t xml:space="preserve">) between </w:t>
      </w:r>
      <w:r w:rsidR="00695E08" w:rsidRPr="006F4D4C">
        <w:rPr>
          <w:rStyle w:val="cursor-pointer"/>
          <w:rFonts w:ascii="Arial" w:hAnsi="Arial" w:cs="Arial"/>
          <w:sz w:val="22"/>
          <w:szCs w:val="22"/>
        </w:rPr>
        <w:t>o</w:t>
      </w:r>
      <w:r w:rsidRPr="006F4D4C">
        <w:rPr>
          <w:rStyle w:val="cursor-pointer"/>
          <w:rFonts w:ascii="Arial" w:hAnsi="Arial" w:cs="Arial"/>
          <w:sz w:val="22"/>
          <w:szCs w:val="22"/>
        </w:rPr>
        <w:t>rder level A</w:t>
      </w:r>
      <w:r w:rsidR="00856F00" w:rsidRPr="006F4D4C">
        <w:rPr>
          <w:rStyle w:val="cursor-pointer"/>
          <w:rFonts w:ascii="Arial" w:hAnsi="Arial" w:cs="Arial"/>
          <w:sz w:val="22"/>
          <w:szCs w:val="22"/>
        </w:rPr>
        <w:t>OV</w:t>
      </w:r>
      <w:r w:rsidRPr="006F4D4C">
        <w:rPr>
          <w:rStyle w:val="cursor-pointer"/>
          <w:rFonts w:ascii="Arial" w:hAnsi="Arial" w:cs="Arial"/>
          <w:sz w:val="22"/>
          <w:szCs w:val="22"/>
        </w:rPr>
        <w:t xml:space="preserve"> of $102.59 and a</w:t>
      </w:r>
      <w:r w:rsidR="00695E08" w:rsidRPr="006F4D4C">
        <w:rPr>
          <w:rStyle w:val="cursor-pointer"/>
          <w:rFonts w:ascii="Arial" w:hAnsi="Arial" w:cs="Arial"/>
          <w:sz w:val="22"/>
          <w:szCs w:val="22"/>
        </w:rPr>
        <w:t>bout</w:t>
      </w:r>
      <w:r w:rsidRPr="006F4D4C">
        <w:rPr>
          <w:rStyle w:val="cursor-pointer"/>
          <w:rFonts w:ascii="Arial" w:hAnsi="Arial" w:cs="Arial"/>
          <w:sz w:val="22"/>
          <w:szCs w:val="22"/>
        </w:rPr>
        <w:t xml:space="preserve"> $101.84 on the executive dashboard which should be reconciled before performance is evaluated against the target of $120.</w:t>
      </w:r>
      <w:r w:rsidRPr="006F4D4C">
        <w:rPr>
          <w:rFonts w:ascii="Arial" w:hAnsi="Arial" w:cs="Arial"/>
          <w:sz w:val="22"/>
          <w:szCs w:val="22"/>
        </w:rPr>
        <w:t xml:space="preserve"> </w:t>
      </w:r>
    </w:p>
    <w:p w14:paraId="5B210F11" w14:textId="77777777" w:rsidR="00C878A6" w:rsidRPr="006F4D4C" w:rsidRDefault="00C878A6">
      <w:pPr>
        <w:rPr>
          <w:rFonts w:ascii="Arial" w:hAnsi="Arial" w:cs="Arial"/>
          <w:sz w:val="22"/>
          <w:szCs w:val="22"/>
        </w:rPr>
      </w:pPr>
      <w:r w:rsidRPr="006F4D4C">
        <w:rPr>
          <w:rStyle w:val="cursor-pointer"/>
          <w:rFonts w:ascii="Arial" w:hAnsi="Arial" w:cs="Arial"/>
          <w:sz w:val="22"/>
          <w:szCs w:val="22"/>
        </w:rPr>
        <w:t>Retention is the most positive indicator of growth.</w:t>
      </w:r>
      <w:r w:rsidRPr="006F4D4C">
        <w:rPr>
          <w:rFonts w:ascii="Arial" w:hAnsi="Arial" w:cs="Arial"/>
          <w:sz w:val="22"/>
          <w:szCs w:val="22"/>
        </w:rPr>
        <w:t xml:space="preserve"> </w:t>
      </w:r>
      <w:r w:rsidRPr="006F4D4C">
        <w:rPr>
          <w:rStyle w:val="cursor-pointer"/>
          <w:rFonts w:ascii="Arial" w:hAnsi="Arial" w:cs="Arial"/>
          <w:sz w:val="22"/>
          <w:szCs w:val="22"/>
        </w:rPr>
        <w:t>Repeat customers make up 57.2% of identifiable customers and 95.9% of completed net sales over the previous 12 months.</w:t>
      </w:r>
      <w:r w:rsidRPr="006F4D4C">
        <w:rPr>
          <w:rFonts w:ascii="Arial" w:hAnsi="Arial" w:cs="Arial"/>
          <w:sz w:val="22"/>
          <w:szCs w:val="22"/>
        </w:rPr>
        <w:t xml:space="preserve"> </w:t>
      </w:r>
      <w:r w:rsidRPr="006F4D4C">
        <w:rPr>
          <w:rStyle w:val="cursor-pointer"/>
          <w:rFonts w:ascii="Arial" w:hAnsi="Arial" w:cs="Arial"/>
          <w:sz w:val="22"/>
          <w:szCs w:val="22"/>
        </w:rPr>
        <w:t>The average sale price of returning customers is $112.96 versus $75.50 of new customers, a 49.6% premium.</w:t>
      </w:r>
      <w:r w:rsidRPr="006F4D4C">
        <w:rPr>
          <w:rFonts w:ascii="Arial" w:hAnsi="Arial" w:cs="Arial"/>
          <w:sz w:val="22"/>
          <w:szCs w:val="22"/>
        </w:rPr>
        <w:t xml:space="preserve"> </w:t>
      </w:r>
      <w:r w:rsidRPr="006F4D4C">
        <w:rPr>
          <w:rStyle w:val="cursor-pointer"/>
          <w:rFonts w:ascii="Arial" w:hAnsi="Arial" w:cs="Arial"/>
          <w:sz w:val="22"/>
          <w:szCs w:val="22"/>
        </w:rPr>
        <w:t>It helps to preserve loyal customers and boost conversion from first purchase to repeat purchase, instead of just acquisition or deep discounts.</w:t>
      </w:r>
      <w:r w:rsidRPr="006F4D4C">
        <w:rPr>
          <w:rFonts w:ascii="Arial" w:hAnsi="Arial" w:cs="Arial"/>
          <w:sz w:val="22"/>
          <w:szCs w:val="22"/>
        </w:rPr>
        <w:t xml:space="preserve"> </w:t>
      </w:r>
    </w:p>
    <w:p w14:paraId="45912516" w14:textId="06E37A73" w:rsidR="00C878A6" w:rsidRPr="006F4D4C" w:rsidRDefault="00C878A6">
      <w:pPr>
        <w:rPr>
          <w:rStyle w:val="cursor-pointer"/>
          <w:rFonts w:ascii="Arial" w:hAnsi="Arial" w:cs="Arial"/>
          <w:sz w:val="22"/>
          <w:szCs w:val="22"/>
        </w:rPr>
      </w:pPr>
      <w:r w:rsidRPr="006F4D4C">
        <w:rPr>
          <w:rFonts w:ascii="Arial" w:hAnsi="Arial" w:cs="Arial"/>
          <w:sz w:val="22"/>
          <w:szCs w:val="22"/>
        </w:rPr>
        <w:t xml:space="preserve">Net sales grew from $1,970,079 in 2021 to $5,268,416 in 2025, a 27.9% compound annual growth rate, and the supplied forecast reaches $7,998,665 by 2028. </w:t>
      </w:r>
      <w:r w:rsidRPr="006F4D4C">
        <w:rPr>
          <w:rStyle w:val="cursor-pointer"/>
          <w:rFonts w:ascii="Arial" w:hAnsi="Arial" w:cs="Arial"/>
          <w:sz w:val="22"/>
          <w:szCs w:val="22"/>
        </w:rPr>
        <w:t xml:space="preserve">The forecast is </w:t>
      </w:r>
      <w:r w:rsidRPr="006F4D4C">
        <w:rPr>
          <w:rStyle w:val="cursor-pointer"/>
          <w:rFonts w:ascii="Arial" w:hAnsi="Arial" w:cs="Arial"/>
          <w:sz w:val="22"/>
          <w:szCs w:val="22"/>
        </w:rPr>
        <w:t>favourable</w:t>
      </w:r>
      <w:r w:rsidRPr="006F4D4C">
        <w:rPr>
          <w:rStyle w:val="cursor-pointer"/>
          <w:rFonts w:ascii="Arial" w:hAnsi="Arial" w:cs="Arial"/>
          <w:sz w:val="22"/>
          <w:szCs w:val="22"/>
        </w:rPr>
        <w:t>, but it's not a regulation, price, or confidence interval forecast as the file does not include details on any of these items.</w:t>
      </w:r>
    </w:p>
    <w:p w14:paraId="20FC21B8" w14:textId="5FE3545E" w:rsidR="0091402F" w:rsidRPr="006F4D4C" w:rsidRDefault="00E411A8" w:rsidP="001C3067">
      <w:pPr>
        <w:pStyle w:val="Heading2"/>
      </w:pPr>
      <w:bookmarkStart w:id="2" w:name="_Toc236853414"/>
      <w:r w:rsidRPr="006F4D4C">
        <w:rPr>
          <w:rStyle w:val="cursor-pointer"/>
          <w:rFonts w:ascii="Arial" w:hAnsi="Arial" w:cs="Arial"/>
          <w:sz w:val="22"/>
          <w:szCs w:val="22"/>
        </w:rPr>
        <w:t>KPI’s Summary</w:t>
      </w:r>
      <w:bookmarkEnd w:id="2"/>
    </w:p>
    <w:tbl>
      <w:tblPr>
        <w:tblStyle w:val="TableGrid"/>
        <w:tblW w:w="9350" w:type="dxa"/>
        <w:tblLook w:val="04A0" w:firstRow="1" w:lastRow="0" w:firstColumn="1" w:lastColumn="0" w:noHBand="0" w:noVBand="1"/>
      </w:tblPr>
      <w:tblGrid>
        <w:gridCol w:w="2689"/>
        <w:gridCol w:w="1559"/>
        <w:gridCol w:w="5102"/>
      </w:tblGrid>
      <w:tr w:rsidR="00695E08" w:rsidRPr="00753FE5" w14:paraId="298DF65B" w14:textId="77777777" w:rsidTr="0091402F">
        <w:tc>
          <w:tcPr>
            <w:tcW w:w="2689" w:type="dxa"/>
          </w:tcPr>
          <w:p w14:paraId="4E311A71" w14:textId="52F501F1" w:rsidR="00695E08" w:rsidRPr="00753FE5" w:rsidRDefault="00695E08" w:rsidP="00695E08">
            <w:pPr>
              <w:rPr>
                <w:rFonts w:ascii="Arial" w:hAnsi="Arial" w:cs="Arial"/>
                <w:b/>
                <w:bCs/>
                <w:sz w:val="20"/>
                <w:szCs w:val="20"/>
              </w:rPr>
            </w:pPr>
            <w:r w:rsidRPr="00753FE5">
              <w:rPr>
                <w:rFonts w:ascii="Arial" w:hAnsi="Arial" w:cs="Arial"/>
                <w:b/>
                <w:color w:val="000000" w:themeColor="text1"/>
                <w:sz w:val="20"/>
                <w:szCs w:val="20"/>
              </w:rPr>
              <w:t>Executive KPI</w:t>
            </w:r>
          </w:p>
        </w:tc>
        <w:tc>
          <w:tcPr>
            <w:tcW w:w="1559" w:type="dxa"/>
            <w:vAlign w:val="center"/>
          </w:tcPr>
          <w:p w14:paraId="1AC446E8" w14:textId="684FCA11" w:rsidR="00695E08" w:rsidRPr="00753FE5" w:rsidRDefault="00695E08" w:rsidP="00695E08">
            <w:pPr>
              <w:rPr>
                <w:rFonts w:ascii="Arial" w:hAnsi="Arial" w:cs="Arial"/>
                <w:sz w:val="20"/>
                <w:szCs w:val="20"/>
              </w:rPr>
            </w:pPr>
            <w:r w:rsidRPr="00753FE5">
              <w:rPr>
                <w:rFonts w:ascii="Arial" w:hAnsi="Arial" w:cs="Arial"/>
                <w:b/>
                <w:color w:val="000000" w:themeColor="text1"/>
                <w:sz w:val="20"/>
                <w:szCs w:val="20"/>
              </w:rPr>
              <w:t>Validated result</w:t>
            </w:r>
          </w:p>
        </w:tc>
        <w:tc>
          <w:tcPr>
            <w:tcW w:w="5102" w:type="dxa"/>
            <w:vAlign w:val="center"/>
          </w:tcPr>
          <w:p w14:paraId="46573EFA" w14:textId="72CF63EC" w:rsidR="00695E08" w:rsidRPr="00753FE5" w:rsidRDefault="00695E08" w:rsidP="00695E08">
            <w:pPr>
              <w:rPr>
                <w:rFonts w:ascii="Arial" w:hAnsi="Arial" w:cs="Arial"/>
                <w:sz w:val="20"/>
                <w:szCs w:val="20"/>
              </w:rPr>
            </w:pPr>
            <w:r w:rsidRPr="00753FE5">
              <w:rPr>
                <w:rFonts w:ascii="Arial" w:hAnsi="Arial" w:cs="Arial"/>
                <w:b/>
                <w:color w:val="000000" w:themeColor="text1"/>
                <w:sz w:val="20"/>
                <w:szCs w:val="20"/>
              </w:rPr>
              <w:t>Management interpretation</w:t>
            </w:r>
          </w:p>
        </w:tc>
      </w:tr>
      <w:tr w:rsidR="00695E08" w:rsidRPr="00753FE5" w14:paraId="553876E7" w14:textId="77777777" w:rsidTr="0091402F">
        <w:tc>
          <w:tcPr>
            <w:tcW w:w="2689" w:type="dxa"/>
          </w:tcPr>
          <w:p w14:paraId="4630CAF0" w14:textId="52438DC4"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Completed net sales</w:t>
            </w:r>
          </w:p>
        </w:tc>
        <w:tc>
          <w:tcPr>
            <w:tcW w:w="1559" w:type="dxa"/>
          </w:tcPr>
          <w:p w14:paraId="2CBB7693" w14:textId="5807DA5F"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$18,173,726</w:t>
            </w:r>
          </w:p>
        </w:tc>
        <w:tc>
          <w:tcPr>
            <w:tcW w:w="5102" w:type="dxa"/>
          </w:tcPr>
          <w:p w14:paraId="5B19D17A" w14:textId="19394B33"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Large revenue base supports segmentation and trend analysis.</w:t>
            </w:r>
          </w:p>
        </w:tc>
      </w:tr>
      <w:tr w:rsidR="00695E08" w:rsidRPr="00753FE5" w14:paraId="04771B87" w14:textId="77777777" w:rsidTr="0091402F">
        <w:tc>
          <w:tcPr>
            <w:tcW w:w="2689" w:type="dxa"/>
          </w:tcPr>
          <w:p w14:paraId="72365CDF" w14:textId="04A269BB"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Completed orders</w:t>
            </w:r>
          </w:p>
        </w:tc>
        <w:tc>
          <w:tcPr>
            <w:tcW w:w="1559" w:type="dxa"/>
          </w:tcPr>
          <w:p w14:paraId="2EB2B608" w14:textId="40515371"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177,142</w:t>
            </w:r>
          </w:p>
        </w:tc>
        <w:tc>
          <w:tcPr>
            <w:tcW w:w="5102" w:type="dxa"/>
          </w:tcPr>
          <w:p w14:paraId="1C2E107B" w14:textId="46069DBF"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Sufficient transaction history for stable descriptive KPIs.</w:t>
            </w:r>
          </w:p>
        </w:tc>
      </w:tr>
      <w:tr w:rsidR="00695E08" w:rsidRPr="00753FE5" w14:paraId="13138300" w14:textId="77777777" w:rsidTr="0091402F">
        <w:tc>
          <w:tcPr>
            <w:tcW w:w="2689" w:type="dxa"/>
          </w:tcPr>
          <w:p w14:paraId="6867B606" w14:textId="4B08A46D"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O</w:t>
            </w:r>
            <w:r w:rsidRPr="00753FE5">
              <w:rPr>
                <w:rFonts w:ascii="Arial" w:hAnsi="Arial" w:cs="Arial"/>
                <w:color w:val="000000" w:themeColor="text1"/>
                <w:sz w:val="20"/>
                <w:szCs w:val="20"/>
              </w:rPr>
              <w:t>rder-level AOV</w:t>
            </w:r>
          </w:p>
        </w:tc>
        <w:tc>
          <w:tcPr>
            <w:tcW w:w="1559" w:type="dxa"/>
          </w:tcPr>
          <w:p w14:paraId="670E91D6" w14:textId="0AFAE33B"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$102.59</w:t>
            </w:r>
          </w:p>
        </w:tc>
        <w:tc>
          <w:tcPr>
            <w:tcW w:w="5102" w:type="dxa"/>
          </w:tcPr>
          <w:p w14:paraId="274356BD" w14:textId="06DE8766"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Approximately $17.41 below the $120 target.</w:t>
            </w:r>
          </w:p>
        </w:tc>
      </w:tr>
      <w:tr w:rsidR="00695E08" w:rsidRPr="00753FE5" w14:paraId="31F2EF52" w14:textId="77777777" w:rsidTr="0091402F">
        <w:tc>
          <w:tcPr>
            <w:tcW w:w="2689" w:type="dxa"/>
          </w:tcPr>
          <w:p w14:paraId="6E954A40" w14:textId="643F4CA5"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Repeat customers</w:t>
            </w:r>
          </w:p>
        </w:tc>
        <w:tc>
          <w:tcPr>
            <w:tcW w:w="1559" w:type="dxa"/>
          </w:tcPr>
          <w:p w14:paraId="0303B914" w14:textId="55EC055B"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12,902 (57.2%)</w:t>
            </w:r>
          </w:p>
        </w:tc>
        <w:tc>
          <w:tcPr>
            <w:tcW w:w="5102" w:type="dxa"/>
          </w:tcPr>
          <w:p w14:paraId="48F6CDD0" w14:textId="21FD13D2"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Retention and second-purchase conversion are major levers.</w:t>
            </w:r>
          </w:p>
        </w:tc>
      </w:tr>
      <w:tr w:rsidR="00695E08" w:rsidRPr="00753FE5" w14:paraId="330302EC" w14:textId="77777777" w:rsidTr="0091402F">
        <w:tc>
          <w:tcPr>
            <w:tcW w:w="2689" w:type="dxa"/>
          </w:tcPr>
          <w:p w14:paraId="4FD3F5F4" w14:textId="6B6C474E"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Returning-customer order AOV</w:t>
            </w:r>
          </w:p>
        </w:tc>
        <w:tc>
          <w:tcPr>
            <w:tcW w:w="1559" w:type="dxa"/>
          </w:tcPr>
          <w:p w14:paraId="65CD9819" w14:textId="5A96535E"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$112.96</w:t>
            </w:r>
          </w:p>
        </w:tc>
        <w:tc>
          <w:tcPr>
            <w:tcW w:w="5102" w:type="dxa"/>
          </w:tcPr>
          <w:p w14:paraId="72FE1DD9" w14:textId="04EE28DF"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49.6% above new-customer order AOV.</w:t>
            </w:r>
          </w:p>
        </w:tc>
      </w:tr>
      <w:tr w:rsidR="00695E08" w:rsidRPr="00753FE5" w14:paraId="4562034E" w14:textId="77777777" w:rsidTr="0091402F">
        <w:tc>
          <w:tcPr>
            <w:tcW w:w="2689" w:type="dxa"/>
          </w:tcPr>
          <w:p w14:paraId="1593DCD2" w14:textId="33F874B9"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Forecast net sales, 2028</w:t>
            </w:r>
          </w:p>
        </w:tc>
        <w:tc>
          <w:tcPr>
            <w:tcW w:w="1559" w:type="dxa"/>
          </w:tcPr>
          <w:p w14:paraId="075A54AD" w14:textId="540918C9"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$7,998,665</w:t>
            </w:r>
          </w:p>
        </w:tc>
        <w:tc>
          <w:tcPr>
            <w:tcW w:w="5102" w:type="dxa"/>
          </w:tcPr>
          <w:p w14:paraId="43A80800" w14:textId="3FA2B4B9" w:rsidR="00695E08" w:rsidRPr="00753FE5" w:rsidRDefault="00695E08" w:rsidP="00695E08">
            <w:pPr>
              <w:rPr>
                <w:rFonts w:ascii="Arial" w:hAnsi="Arial" w:cs="Arial"/>
                <w:sz w:val="20"/>
                <w:szCs w:val="20"/>
              </w:rPr>
            </w:pPr>
            <w:r w:rsidRPr="00753FE5">
              <w:rPr>
                <w:rFonts w:ascii="Arial" w:hAnsi="Arial" w:cs="Arial"/>
                <w:color w:val="000000" w:themeColor="text1"/>
                <w:sz w:val="20"/>
                <w:szCs w:val="20"/>
              </w:rPr>
              <w:t>Positive outlook; validate monthly against actual results.</w:t>
            </w:r>
          </w:p>
        </w:tc>
      </w:tr>
    </w:tbl>
    <w:p w14:paraId="28DED15A" w14:textId="77777777" w:rsidR="00695E08" w:rsidRPr="006F4D4C" w:rsidRDefault="00695E08">
      <w:pPr>
        <w:rPr>
          <w:rFonts w:ascii="Arial" w:hAnsi="Arial" w:cs="Arial"/>
          <w:sz w:val="22"/>
          <w:szCs w:val="22"/>
        </w:rPr>
      </w:pPr>
    </w:p>
    <w:p w14:paraId="615DD9C5" w14:textId="68B858E7" w:rsidR="00C878A6" w:rsidRPr="006F4D4C" w:rsidRDefault="00C878A6">
      <w:pPr>
        <w:rPr>
          <w:rFonts w:ascii="Arial" w:hAnsi="Arial" w:cs="Arial"/>
          <w:sz w:val="22"/>
          <w:szCs w:val="22"/>
        </w:rPr>
      </w:pPr>
      <w:bookmarkStart w:id="3" w:name="_Toc236853415"/>
      <w:r w:rsidRPr="001C3067">
        <w:rPr>
          <w:rStyle w:val="Heading3Char"/>
        </w:rPr>
        <w:t>Recommendation</w:t>
      </w:r>
      <w:r w:rsidRPr="001C3067">
        <w:rPr>
          <w:rStyle w:val="Heading3Char"/>
        </w:rPr>
        <w:t>:</w:t>
      </w:r>
      <w:bookmarkEnd w:id="3"/>
      <w:r w:rsidRPr="006F4D4C">
        <w:rPr>
          <w:rFonts w:ascii="Arial" w:hAnsi="Arial" w:cs="Arial"/>
          <w:sz w:val="22"/>
          <w:szCs w:val="22"/>
        </w:rPr>
        <w:t xml:space="preserve"> Approve a 90-day program to normalize AOV definitions, then pilot second</w:t>
      </w:r>
      <w:r w:rsidR="00856F00" w:rsidRPr="006F4D4C">
        <w:rPr>
          <w:rFonts w:ascii="Arial" w:hAnsi="Arial" w:cs="Arial"/>
          <w:sz w:val="22"/>
          <w:szCs w:val="22"/>
        </w:rPr>
        <w:t xml:space="preserve"> </w:t>
      </w:r>
      <w:r w:rsidRPr="006F4D4C">
        <w:rPr>
          <w:rFonts w:ascii="Arial" w:hAnsi="Arial" w:cs="Arial"/>
          <w:sz w:val="22"/>
          <w:szCs w:val="22"/>
        </w:rPr>
        <w:t>purchase and basket</w:t>
      </w:r>
      <w:r w:rsidR="00856F00" w:rsidRPr="006F4D4C">
        <w:rPr>
          <w:rFonts w:ascii="Arial" w:hAnsi="Arial" w:cs="Arial"/>
          <w:sz w:val="22"/>
          <w:szCs w:val="22"/>
        </w:rPr>
        <w:t xml:space="preserve"> </w:t>
      </w:r>
      <w:r w:rsidRPr="006F4D4C">
        <w:rPr>
          <w:rFonts w:ascii="Arial" w:hAnsi="Arial" w:cs="Arial"/>
          <w:sz w:val="22"/>
          <w:szCs w:val="22"/>
        </w:rPr>
        <w:t>building campaigns against holdout groups and then scale those offers that drive incremental sales, but do not compromise privacy, age</w:t>
      </w:r>
      <w:r w:rsidR="00856F00" w:rsidRPr="006F4D4C">
        <w:rPr>
          <w:rFonts w:ascii="Arial" w:hAnsi="Arial" w:cs="Arial"/>
          <w:sz w:val="22"/>
          <w:szCs w:val="22"/>
        </w:rPr>
        <w:t xml:space="preserve"> </w:t>
      </w:r>
      <w:r w:rsidRPr="006F4D4C">
        <w:rPr>
          <w:rFonts w:ascii="Arial" w:hAnsi="Arial" w:cs="Arial"/>
          <w:sz w:val="22"/>
          <w:szCs w:val="22"/>
        </w:rPr>
        <w:t>gating, and responsible</w:t>
      </w:r>
      <w:r w:rsidR="00856F00" w:rsidRPr="006F4D4C">
        <w:rPr>
          <w:rFonts w:ascii="Arial" w:hAnsi="Arial" w:cs="Arial"/>
          <w:sz w:val="22"/>
          <w:szCs w:val="22"/>
        </w:rPr>
        <w:t xml:space="preserve"> </w:t>
      </w:r>
      <w:r w:rsidRPr="006F4D4C">
        <w:rPr>
          <w:rFonts w:ascii="Arial" w:hAnsi="Arial" w:cs="Arial"/>
          <w:sz w:val="22"/>
          <w:szCs w:val="22"/>
        </w:rPr>
        <w:t>promotion controls.</w:t>
      </w:r>
    </w:p>
    <w:p w14:paraId="4209522A" w14:textId="77777777" w:rsidR="001C3067" w:rsidRDefault="001C3067">
      <w:pPr>
        <w:spacing w:line="278" w:lineRule="auto"/>
        <w:rPr>
          <w:rFonts w:asciiTheme="majorHAnsi" w:eastAsiaTheme="majorEastAsia" w:hAnsiTheme="majorHAnsi" w:cstheme="majorBidi"/>
          <w:color w:val="0F4761" w:themeColor="accent1" w:themeShade="BF"/>
          <w:sz w:val="40"/>
          <w:szCs w:val="40"/>
        </w:rPr>
      </w:pPr>
      <w:r>
        <w:br w:type="page"/>
      </w:r>
    </w:p>
    <w:p w14:paraId="38EAFC4C" w14:textId="433ACE4E" w:rsidR="00C32A54" w:rsidRPr="006F4D4C" w:rsidRDefault="00C32A54" w:rsidP="001C3067">
      <w:pPr>
        <w:pStyle w:val="Heading1"/>
      </w:pPr>
      <w:bookmarkStart w:id="4" w:name="_Toc236853416"/>
      <w:r w:rsidRPr="006F4D4C">
        <w:lastRenderedPageBreak/>
        <w:t>INTRODUCTION &amp; BUSINESS CONTEXT</w:t>
      </w:r>
      <w:bookmarkEnd w:id="4"/>
    </w:p>
    <w:p w14:paraId="1F843F9C" w14:textId="77777777" w:rsidR="001C3067" w:rsidRDefault="00C878A6">
      <w:pPr>
        <w:rPr>
          <w:rFonts w:ascii="Arial" w:hAnsi="Arial" w:cs="Arial"/>
          <w:sz w:val="22"/>
          <w:szCs w:val="22"/>
        </w:rPr>
      </w:pPr>
      <w:r w:rsidRPr="006F4D4C">
        <w:rPr>
          <w:rStyle w:val="cursor-pointer"/>
          <w:rFonts w:ascii="Arial" w:hAnsi="Arial" w:cs="Arial"/>
          <w:sz w:val="22"/>
          <w:szCs w:val="22"/>
        </w:rPr>
        <w:t>This capstone transforms sales and customer data into actionable growth decisions for Canada Vapes.</w:t>
      </w:r>
      <w:r w:rsidRPr="006F4D4C">
        <w:rPr>
          <w:rFonts w:ascii="Arial" w:hAnsi="Arial" w:cs="Arial"/>
          <w:sz w:val="22"/>
          <w:szCs w:val="22"/>
        </w:rPr>
        <w:t xml:space="preserve"> </w:t>
      </w:r>
      <w:r w:rsidRPr="006F4D4C">
        <w:rPr>
          <w:rStyle w:val="cursor-pointer"/>
          <w:rFonts w:ascii="Arial" w:hAnsi="Arial" w:cs="Arial"/>
          <w:sz w:val="22"/>
          <w:szCs w:val="22"/>
        </w:rPr>
        <w:t>This report includes details about the methods and limitations, the Power BI dashboard includes the executive view, and the presentation communicates the findings and recommendations.</w:t>
      </w:r>
      <w:r w:rsidRPr="006F4D4C">
        <w:rPr>
          <w:rFonts w:ascii="Arial" w:hAnsi="Arial" w:cs="Arial"/>
          <w:sz w:val="22"/>
          <w:szCs w:val="22"/>
        </w:rPr>
        <w:t xml:space="preserve"> </w:t>
      </w:r>
    </w:p>
    <w:p w14:paraId="1DC9A548" w14:textId="19BA6A14" w:rsidR="00C878A6" w:rsidRPr="006F4D4C" w:rsidRDefault="00C878A6" w:rsidP="001C3067">
      <w:pPr>
        <w:pStyle w:val="Heading2"/>
      </w:pPr>
      <w:bookmarkStart w:id="5" w:name="_Toc236853417"/>
      <w:r w:rsidRPr="006F4D4C">
        <w:t>Business Challenge</w:t>
      </w:r>
      <w:bookmarkEnd w:id="5"/>
      <w:r w:rsidRPr="006F4D4C">
        <w:t xml:space="preserve"> </w:t>
      </w:r>
    </w:p>
    <w:p w14:paraId="4E533805" w14:textId="0E222AA8" w:rsidR="00C878A6" w:rsidRPr="006F4D4C" w:rsidRDefault="00C878A6">
      <w:pPr>
        <w:rPr>
          <w:rFonts w:ascii="Arial" w:hAnsi="Arial" w:cs="Arial"/>
          <w:sz w:val="22"/>
          <w:szCs w:val="22"/>
        </w:rPr>
      </w:pPr>
      <w:r w:rsidRPr="006F4D4C">
        <w:rPr>
          <w:rStyle w:val="cursor-pointer"/>
          <w:rFonts w:ascii="Arial" w:hAnsi="Arial" w:cs="Arial"/>
          <w:sz w:val="22"/>
          <w:szCs w:val="22"/>
        </w:rPr>
        <w:t>Canada Vapes must determine what new sales will be made, who and where the company will get them and how to get AOV to $120.</w:t>
      </w:r>
      <w:r w:rsidRPr="006F4D4C">
        <w:rPr>
          <w:rFonts w:ascii="Arial" w:hAnsi="Arial" w:cs="Arial"/>
          <w:sz w:val="22"/>
          <w:szCs w:val="22"/>
        </w:rPr>
        <w:t xml:space="preserve"> </w:t>
      </w:r>
      <w:r w:rsidRPr="006F4D4C">
        <w:rPr>
          <w:rStyle w:val="cursor-pointer"/>
          <w:rFonts w:ascii="Arial" w:hAnsi="Arial" w:cs="Arial"/>
          <w:sz w:val="22"/>
          <w:szCs w:val="22"/>
        </w:rPr>
        <w:t>Management should focus on more than just revenue growth</w:t>
      </w:r>
      <w:r w:rsidR="00856F00" w:rsidRPr="006F4D4C">
        <w:rPr>
          <w:rStyle w:val="cursor-pointer"/>
          <w:rFonts w:ascii="Arial" w:hAnsi="Arial" w:cs="Arial"/>
          <w:sz w:val="22"/>
          <w:szCs w:val="22"/>
        </w:rPr>
        <w:t xml:space="preserve">, </w:t>
      </w:r>
      <w:r w:rsidRPr="006F4D4C">
        <w:rPr>
          <w:rStyle w:val="cursor-pointer"/>
          <w:rFonts w:ascii="Arial" w:hAnsi="Arial" w:cs="Arial"/>
          <w:sz w:val="22"/>
          <w:szCs w:val="22"/>
        </w:rPr>
        <w:t>repeat sales, basket value, customer centricity and responsible regional opportunities.</w:t>
      </w:r>
      <w:r w:rsidRPr="006F4D4C">
        <w:rPr>
          <w:rFonts w:ascii="Arial" w:hAnsi="Arial" w:cs="Arial"/>
          <w:sz w:val="22"/>
          <w:szCs w:val="22"/>
        </w:rPr>
        <w:t xml:space="preserve"> </w:t>
      </w:r>
    </w:p>
    <w:p w14:paraId="047B7C35" w14:textId="77777777" w:rsidR="004775F7" w:rsidRPr="006F4D4C" w:rsidRDefault="00C878A6" w:rsidP="001C3067">
      <w:pPr>
        <w:pStyle w:val="Heading3"/>
      </w:pPr>
      <w:bookmarkStart w:id="6" w:name="_Toc236853418"/>
      <w:r w:rsidRPr="006F4D4C">
        <w:t>Research Questions</w:t>
      </w:r>
      <w:bookmarkEnd w:id="6"/>
      <w:r w:rsidRPr="006F4D4C">
        <w:t xml:space="preserve"> </w:t>
      </w:r>
    </w:p>
    <w:p w14:paraId="59E29E5D" w14:textId="77777777" w:rsidR="004775F7" w:rsidRPr="006F4D4C" w:rsidRDefault="004775F7" w:rsidP="004775F7">
      <w:pPr>
        <w:pStyle w:val="ListParagraph"/>
        <w:numPr>
          <w:ilvl w:val="0"/>
          <w:numId w:val="5"/>
        </w:numPr>
        <w:rPr>
          <w:rFonts w:ascii="Arial" w:hAnsi="Arial" w:cs="Arial"/>
          <w:sz w:val="22"/>
          <w:szCs w:val="22"/>
        </w:rPr>
      </w:pPr>
      <w:r w:rsidRPr="006F4D4C">
        <w:rPr>
          <w:rFonts w:ascii="Arial" w:hAnsi="Arial" w:cs="Arial"/>
          <w:sz w:val="22"/>
          <w:szCs w:val="22"/>
        </w:rPr>
        <w:t>How have completed net sales, orders, and AOV changed from 2021 to 2025, and what direction does the supplied three-year forecast indicate?</w:t>
      </w:r>
    </w:p>
    <w:p w14:paraId="26A4BC86" w14:textId="77777777" w:rsidR="004775F7" w:rsidRPr="006F4D4C" w:rsidRDefault="004775F7" w:rsidP="004775F7">
      <w:pPr>
        <w:pStyle w:val="ListParagraph"/>
        <w:numPr>
          <w:ilvl w:val="0"/>
          <w:numId w:val="5"/>
        </w:numPr>
        <w:rPr>
          <w:rFonts w:ascii="Arial" w:hAnsi="Arial" w:cs="Arial"/>
          <w:sz w:val="22"/>
          <w:szCs w:val="22"/>
        </w:rPr>
      </w:pPr>
      <w:r w:rsidRPr="006F4D4C">
        <w:rPr>
          <w:rFonts w:ascii="Arial" w:hAnsi="Arial" w:cs="Arial"/>
          <w:sz w:val="22"/>
          <w:szCs w:val="22"/>
        </w:rPr>
        <w:t>How do new and returning customers differ in order value, and which customer segments contribute the most historical revenue?</w:t>
      </w:r>
    </w:p>
    <w:p w14:paraId="5703454E" w14:textId="77777777" w:rsidR="00760B92" w:rsidRPr="006F4D4C" w:rsidRDefault="004775F7" w:rsidP="00760B92">
      <w:pPr>
        <w:pStyle w:val="ListParagraph"/>
        <w:numPr>
          <w:ilvl w:val="0"/>
          <w:numId w:val="5"/>
        </w:numPr>
        <w:rPr>
          <w:rFonts w:ascii="Arial" w:hAnsi="Arial" w:cs="Arial"/>
          <w:sz w:val="22"/>
          <w:szCs w:val="22"/>
        </w:rPr>
      </w:pPr>
      <w:r w:rsidRPr="006F4D4C">
        <w:rPr>
          <w:rFonts w:ascii="Arial" w:hAnsi="Arial" w:cs="Arial"/>
          <w:sz w:val="22"/>
          <w:szCs w:val="22"/>
        </w:rPr>
        <w:t>Which regions should be scaled, piloted, selectively targeted, or monitored based on reach, AOV gap, and commercial difficulty?</w:t>
      </w:r>
    </w:p>
    <w:p w14:paraId="1C3DE061" w14:textId="778B45BA" w:rsidR="00760B92" w:rsidRPr="006F4D4C" w:rsidRDefault="004775F7" w:rsidP="004775F7">
      <w:pPr>
        <w:pStyle w:val="ListParagraph"/>
        <w:numPr>
          <w:ilvl w:val="0"/>
          <w:numId w:val="5"/>
        </w:numPr>
        <w:rPr>
          <w:rFonts w:ascii="Arial" w:hAnsi="Arial" w:cs="Arial"/>
          <w:sz w:val="22"/>
          <w:szCs w:val="22"/>
        </w:rPr>
      </w:pPr>
      <w:r w:rsidRPr="006F4D4C">
        <w:rPr>
          <w:rFonts w:ascii="Arial" w:hAnsi="Arial" w:cs="Arial"/>
          <w:sz w:val="22"/>
          <w:szCs w:val="22"/>
        </w:rPr>
        <w:t xml:space="preserve">How should Canada Vapes reconcile different AOV </w:t>
      </w:r>
      <w:r w:rsidR="00760B92" w:rsidRPr="006F4D4C">
        <w:rPr>
          <w:rFonts w:ascii="Arial" w:hAnsi="Arial" w:cs="Arial"/>
          <w:sz w:val="22"/>
          <w:szCs w:val="22"/>
        </w:rPr>
        <w:t>calculations,</w:t>
      </w:r>
      <w:r w:rsidRPr="006F4D4C">
        <w:rPr>
          <w:rFonts w:ascii="Arial" w:hAnsi="Arial" w:cs="Arial"/>
          <w:sz w:val="22"/>
          <w:szCs w:val="22"/>
        </w:rPr>
        <w:t xml:space="preserve"> so the dashboard and report communicate one consistent target?</w:t>
      </w:r>
    </w:p>
    <w:p w14:paraId="5C563F23" w14:textId="405936FE" w:rsidR="004775F7" w:rsidRPr="006F4D4C" w:rsidRDefault="004775F7" w:rsidP="004775F7">
      <w:pPr>
        <w:pStyle w:val="ListParagraph"/>
        <w:numPr>
          <w:ilvl w:val="0"/>
          <w:numId w:val="5"/>
        </w:numPr>
        <w:rPr>
          <w:rStyle w:val="cursor-pointer"/>
          <w:rFonts w:ascii="Arial" w:hAnsi="Arial" w:cs="Arial"/>
          <w:sz w:val="22"/>
          <w:szCs w:val="22"/>
        </w:rPr>
      </w:pPr>
      <w:r w:rsidRPr="006F4D4C">
        <w:rPr>
          <w:rFonts w:ascii="Arial" w:hAnsi="Arial" w:cs="Arial"/>
          <w:sz w:val="22"/>
          <w:szCs w:val="22"/>
        </w:rPr>
        <w:t>What privacy, fairness, governance, and responsible</w:t>
      </w:r>
      <w:r w:rsidR="00856F00" w:rsidRPr="006F4D4C">
        <w:rPr>
          <w:rFonts w:ascii="Arial" w:hAnsi="Arial" w:cs="Arial"/>
          <w:sz w:val="22"/>
          <w:szCs w:val="22"/>
        </w:rPr>
        <w:t xml:space="preserve"> </w:t>
      </w:r>
      <w:r w:rsidRPr="006F4D4C">
        <w:rPr>
          <w:rFonts w:ascii="Arial" w:hAnsi="Arial" w:cs="Arial"/>
          <w:sz w:val="22"/>
          <w:szCs w:val="22"/>
        </w:rPr>
        <w:t>marketing controls should be applied</w:t>
      </w:r>
      <w:r w:rsidRPr="006F4D4C">
        <w:rPr>
          <w:rFonts w:ascii="Arial" w:hAnsi="Arial" w:cs="Arial"/>
          <w:sz w:val="22"/>
          <w:szCs w:val="22"/>
        </w:rPr>
        <w:t xml:space="preserve"> </w:t>
      </w:r>
      <w:r w:rsidRPr="006F4D4C">
        <w:rPr>
          <w:rStyle w:val="cursor-pointer"/>
          <w:rFonts w:ascii="Arial" w:hAnsi="Arial" w:cs="Arial"/>
          <w:sz w:val="22"/>
          <w:szCs w:val="22"/>
        </w:rPr>
        <w:t>before campaign recommendations are operationalized?</w:t>
      </w:r>
    </w:p>
    <w:p w14:paraId="3430D0F9" w14:textId="386DACD0" w:rsidR="00C878A6" w:rsidRPr="006F4D4C" w:rsidRDefault="00C878A6" w:rsidP="001C3067">
      <w:pPr>
        <w:pStyle w:val="Heading2"/>
        <w:rPr>
          <w:rStyle w:val="cursor-pointer"/>
          <w:rFonts w:ascii="Arial" w:hAnsi="Arial" w:cs="Arial"/>
          <w:sz w:val="22"/>
          <w:szCs w:val="22"/>
        </w:rPr>
      </w:pPr>
      <w:bookmarkStart w:id="7" w:name="_Toc236853419"/>
      <w:r w:rsidRPr="006F4D4C">
        <w:rPr>
          <w:rStyle w:val="cursor-pointer"/>
          <w:rFonts w:ascii="Arial" w:hAnsi="Arial" w:cs="Arial"/>
          <w:sz w:val="22"/>
          <w:szCs w:val="22"/>
        </w:rPr>
        <w:t>Scope and Terminology</w:t>
      </w:r>
      <w:bookmarkEnd w:id="7"/>
    </w:p>
    <w:p w14:paraId="662A5C35" w14:textId="294084DA" w:rsidR="004775F7" w:rsidRPr="006F4D4C" w:rsidRDefault="00C878A6" w:rsidP="00C878A6">
      <w:pPr>
        <w:rPr>
          <w:rStyle w:val="cursor-pointer"/>
          <w:rFonts w:ascii="Arial" w:hAnsi="Arial" w:cs="Arial"/>
          <w:sz w:val="22"/>
          <w:szCs w:val="22"/>
        </w:rPr>
      </w:pPr>
      <w:r w:rsidRPr="006F4D4C">
        <w:rPr>
          <w:rStyle w:val="cursor-pointer"/>
          <w:rFonts w:ascii="Arial" w:hAnsi="Arial" w:cs="Arial"/>
          <w:sz w:val="22"/>
          <w:szCs w:val="22"/>
        </w:rPr>
        <w:t>This report filters out order</w:t>
      </w:r>
      <w:r w:rsidR="00856F00" w:rsidRPr="006F4D4C">
        <w:rPr>
          <w:rStyle w:val="cursor-pointer"/>
          <w:rFonts w:ascii="Arial" w:hAnsi="Arial" w:cs="Arial"/>
          <w:sz w:val="22"/>
          <w:szCs w:val="22"/>
        </w:rPr>
        <w:t xml:space="preserve"> </w:t>
      </w:r>
      <w:r w:rsidRPr="006F4D4C">
        <w:rPr>
          <w:rStyle w:val="cursor-pointer"/>
          <w:rFonts w:ascii="Arial" w:hAnsi="Arial" w:cs="Arial"/>
          <w:sz w:val="22"/>
          <w:szCs w:val="22"/>
        </w:rPr>
        <w:t>level AOV, customer</w:t>
      </w:r>
      <w:r w:rsidR="00856F00" w:rsidRPr="006F4D4C">
        <w:rPr>
          <w:rStyle w:val="cursor-pointer"/>
          <w:rFonts w:ascii="Arial" w:hAnsi="Arial" w:cs="Arial"/>
          <w:sz w:val="22"/>
          <w:szCs w:val="22"/>
        </w:rPr>
        <w:t xml:space="preserve"> </w:t>
      </w:r>
      <w:r w:rsidRPr="006F4D4C">
        <w:rPr>
          <w:rStyle w:val="cursor-pointer"/>
          <w:rFonts w:ascii="Arial" w:hAnsi="Arial" w:cs="Arial"/>
          <w:sz w:val="22"/>
          <w:szCs w:val="22"/>
        </w:rPr>
        <w:t>average AOV and regional AOV.</w:t>
      </w:r>
      <w:r w:rsidRPr="006F4D4C">
        <w:rPr>
          <w:rFonts w:ascii="Arial" w:hAnsi="Arial" w:cs="Arial"/>
          <w:sz w:val="22"/>
          <w:szCs w:val="22"/>
        </w:rPr>
        <w:t xml:space="preserve"> </w:t>
      </w:r>
      <w:r w:rsidR="004775F7" w:rsidRPr="006F4D4C">
        <w:rPr>
          <w:rStyle w:val="cursor-pointer"/>
          <w:rFonts w:ascii="Arial" w:hAnsi="Arial" w:cs="Arial"/>
          <w:sz w:val="22"/>
          <w:szCs w:val="22"/>
        </w:rPr>
        <w:t>O</w:t>
      </w:r>
      <w:r w:rsidRPr="006F4D4C">
        <w:rPr>
          <w:rStyle w:val="cursor-pointer"/>
          <w:rFonts w:ascii="Arial" w:hAnsi="Arial" w:cs="Arial"/>
          <w:sz w:val="22"/>
          <w:szCs w:val="22"/>
        </w:rPr>
        <w:t>rder AOV</w:t>
      </w:r>
      <w:r w:rsidR="00760B92" w:rsidRPr="006F4D4C">
        <w:rPr>
          <w:rStyle w:val="cursor-pointer"/>
          <w:rFonts w:ascii="Arial" w:hAnsi="Arial" w:cs="Arial"/>
          <w:sz w:val="22"/>
          <w:szCs w:val="22"/>
        </w:rPr>
        <w:t xml:space="preserve"> to </w:t>
      </w:r>
      <w:r w:rsidRPr="006F4D4C">
        <w:rPr>
          <w:rStyle w:val="cursor-pointer"/>
          <w:rFonts w:ascii="Arial" w:hAnsi="Arial" w:cs="Arial"/>
          <w:sz w:val="22"/>
          <w:szCs w:val="22"/>
        </w:rPr>
        <w:t xml:space="preserve">AOV for completed orders </w:t>
      </w:r>
      <w:r w:rsidR="004775F7" w:rsidRPr="006F4D4C">
        <w:rPr>
          <w:rStyle w:val="cursor-pointer"/>
          <w:rFonts w:ascii="Arial" w:hAnsi="Arial" w:cs="Arial"/>
          <w:sz w:val="22"/>
          <w:szCs w:val="22"/>
        </w:rPr>
        <w:t xml:space="preserve">by </w:t>
      </w:r>
      <w:r w:rsidRPr="006F4D4C">
        <w:rPr>
          <w:rStyle w:val="cursor-pointer"/>
          <w:rFonts w:ascii="Arial" w:hAnsi="Arial" w:cs="Arial"/>
          <w:sz w:val="22"/>
          <w:szCs w:val="22"/>
        </w:rPr>
        <w:t xml:space="preserve">completed orders; Customer-average AOV </w:t>
      </w:r>
      <w:r w:rsidR="00760B92" w:rsidRPr="006F4D4C">
        <w:rPr>
          <w:rStyle w:val="cursor-pointer"/>
          <w:rFonts w:ascii="Arial" w:hAnsi="Arial" w:cs="Arial"/>
          <w:sz w:val="22"/>
          <w:szCs w:val="22"/>
        </w:rPr>
        <w:t>to</w:t>
      </w:r>
      <w:r w:rsidRPr="006F4D4C">
        <w:rPr>
          <w:rStyle w:val="cursor-pointer"/>
          <w:rFonts w:ascii="Arial" w:hAnsi="Arial" w:cs="Arial"/>
          <w:sz w:val="22"/>
          <w:szCs w:val="22"/>
        </w:rPr>
        <w:t xml:space="preserve"> AOV per customer </w:t>
      </w:r>
      <w:r w:rsidR="004775F7" w:rsidRPr="006F4D4C">
        <w:rPr>
          <w:rStyle w:val="cursor-pointer"/>
          <w:rFonts w:ascii="Arial" w:hAnsi="Arial" w:cs="Arial"/>
          <w:sz w:val="22"/>
          <w:szCs w:val="22"/>
        </w:rPr>
        <w:t>by</w:t>
      </w:r>
      <w:r w:rsidRPr="006F4D4C">
        <w:rPr>
          <w:rStyle w:val="cursor-pointer"/>
          <w:rFonts w:ascii="Arial" w:hAnsi="Arial" w:cs="Arial"/>
          <w:sz w:val="22"/>
          <w:szCs w:val="22"/>
        </w:rPr>
        <w:t xml:space="preserve"> total customers; regional </w:t>
      </w:r>
      <w:r w:rsidR="00760B92" w:rsidRPr="006F4D4C">
        <w:rPr>
          <w:rStyle w:val="cursor-pointer"/>
          <w:rFonts w:ascii="Arial" w:hAnsi="Arial" w:cs="Arial"/>
          <w:sz w:val="22"/>
          <w:szCs w:val="22"/>
        </w:rPr>
        <w:t>AOV can</w:t>
      </w:r>
      <w:r w:rsidRPr="006F4D4C">
        <w:rPr>
          <w:rStyle w:val="cursor-pointer"/>
          <w:rFonts w:ascii="Arial" w:hAnsi="Arial" w:cs="Arial"/>
          <w:sz w:val="22"/>
          <w:szCs w:val="22"/>
        </w:rPr>
        <w:t xml:space="preserve"> be calculated by either completed order AOV or customer-average AOV within a region.</w:t>
      </w:r>
      <w:r w:rsidRPr="006F4D4C">
        <w:rPr>
          <w:rFonts w:ascii="Arial" w:hAnsi="Arial" w:cs="Arial"/>
          <w:sz w:val="22"/>
          <w:szCs w:val="22"/>
        </w:rPr>
        <w:t xml:space="preserve"> </w:t>
      </w:r>
      <w:r w:rsidRPr="006F4D4C">
        <w:rPr>
          <w:rStyle w:val="cursor-pointer"/>
          <w:rFonts w:ascii="Arial" w:hAnsi="Arial" w:cs="Arial"/>
          <w:sz w:val="22"/>
          <w:szCs w:val="22"/>
        </w:rPr>
        <w:t>The calculation grain always must be specified, as each measure asks a different question.</w:t>
      </w:r>
    </w:p>
    <w:p w14:paraId="7E723E25" w14:textId="56FD9B99" w:rsidR="004775F7" w:rsidRPr="006F4D4C" w:rsidRDefault="004775F7" w:rsidP="00C878A6">
      <w:pPr>
        <w:rPr>
          <w:rFonts w:ascii="Arial" w:hAnsi="Arial" w:cs="Arial"/>
          <w:sz w:val="22"/>
          <w:szCs w:val="22"/>
        </w:rPr>
      </w:pPr>
      <w:r w:rsidRPr="006F4D4C">
        <w:rPr>
          <w:rFonts w:ascii="Arial" w:hAnsi="Arial" w:cs="Arial"/>
          <w:sz w:val="22"/>
          <w:szCs w:val="22"/>
        </w:rPr>
        <w:t>The transaction dataset supports sales, customer type, product text, coupon use, and time-series analysis but has no region field. Regional findings therefore come from the submitted Power BI dashboards and the earlier Data Preparation and Ethics report, not from one integrated source</w:t>
      </w:r>
      <w:r w:rsidRPr="006F4D4C">
        <w:rPr>
          <w:rFonts w:ascii="Arial" w:hAnsi="Arial" w:cs="Arial"/>
          <w:sz w:val="22"/>
          <w:szCs w:val="22"/>
        </w:rPr>
        <w:t>.</w:t>
      </w:r>
    </w:p>
    <w:p w14:paraId="3055EFA7" w14:textId="77777777" w:rsidR="001C3067" w:rsidRDefault="001C3067">
      <w:pPr>
        <w:spacing w:line="278" w:lineRule="auto"/>
        <w:rPr>
          <w:rFonts w:asciiTheme="majorHAnsi" w:eastAsiaTheme="majorEastAsia" w:hAnsiTheme="majorHAnsi" w:cstheme="majorBidi"/>
          <w:color w:val="0F4761" w:themeColor="accent1" w:themeShade="BF"/>
          <w:sz w:val="40"/>
          <w:szCs w:val="40"/>
        </w:rPr>
      </w:pPr>
      <w:r>
        <w:br w:type="page"/>
      </w:r>
    </w:p>
    <w:p w14:paraId="0AC8538A" w14:textId="7AA1E833" w:rsidR="00C32A54" w:rsidRPr="006F4D4C" w:rsidRDefault="00C32A54" w:rsidP="001C3067">
      <w:pPr>
        <w:pStyle w:val="Heading1"/>
      </w:pPr>
      <w:bookmarkStart w:id="8" w:name="_Toc236853420"/>
      <w:r w:rsidRPr="006F4D4C">
        <w:lastRenderedPageBreak/>
        <w:t>METHODOLOGY</w:t>
      </w:r>
      <w:bookmarkEnd w:id="8"/>
      <w:r w:rsidRPr="006F4D4C">
        <w:t xml:space="preserve"> </w:t>
      </w:r>
    </w:p>
    <w:p w14:paraId="3694C175" w14:textId="77777777" w:rsidR="00760B92" w:rsidRPr="006F4D4C" w:rsidRDefault="004775F7" w:rsidP="001C3067">
      <w:pPr>
        <w:pStyle w:val="Heading2"/>
      </w:pPr>
      <w:bookmarkStart w:id="9" w:name="_Toc236853421"/>
      <w:r w:rsidRPr="006F4D4C">
        <w:rPr>
          <w:rStyle w:val="cursor-pointer"/>
          <w:rFonts w:ascii="Arial" w:hAnsi="Arial" w:cs="Arial"/>
          <w:sz w:val="22"/>
          <w:szCs w:val="22"/>
        </w:rPr>
        <w:t>Data Sources and Tools</w:t>
      </w:r>
      <w:bookmarkEnd w:id="9"/>
      <w:r w:rsidRPr="006F4D4C">
        <w:t xml:space="preserve"> </w:t>
      </w:r>
    </w:p>
    <w:p w14:paraId="5CB5D6A7" w14:textId="77777777" w:rsidR="00695E08" w:rsidRPr="006F4D4C" w:rsidRDefault="00695E08" w:rsidP="00695E08">
      <w:pPr>
        <w:pStyle w:val="ListBullet"/>
        <w:numPr>
          <w:ilvl w:val="0"/>
          <w:numId w:val="7"/>
        </w:numPr>
        <w:spacing w:after="0"/>
        <w:rPr>
          <w:rFonts w:cs="Arial"/>
          <w:sz w:val="22"/>
        </w:rPr>
      </w:pPr>
      <w:r w:rsidRPr="006F4D4C">
        <w:rPr>
          <w:rFonts w:cs="Arial"/>
          <w:sz w:val="22"/>
        </w:rPr>
        <w:t>Cleaned transaction dataset: order date, order ID, customer ID, status, customer type, product text, items sold, coupons, revenue, and net sales.</w:t>
      </w:r>
    </w:p>
    <w:p w14:paraId="2207554B" w14:textId="77777777" w:rsidR="00695E08" w:rsidRPr="006F4D4C" w:rsidRDefault="00695E08" w:rsidP="00695E08">
      <w:pPr>
        <w:pStyle w:val="ListBullet"/>
        <w:numPr>
          <w:ilvl w:val="0"/>
          <w:numId w:val="7"/>
        </w:numPr>
        <w:spacing w:after="0"/>
        <w:rPr>
          <w:rFonts w:cs="Arial"/>
          <w:sz w:val="22"/>
        </w:rPr>
      </w:pPr>
      <w:r w:rsidRPr="006F4D4C">
        <w:rPr>
          <w:rFonts w:cs="Arial"/>
          <w:sz w:val="22"/>
        </w:rPr>
        <w:t>Three-year forecast dataset: monthly forecasted orders and forecasted net sales for 2026 to 2028.</w:t>
      </w:r>
    </w:p>
    <w:p w14:paraId="27CEE756" w14:textId="7595BC88" w:rsidR="00695E08" w:rsidRPr="006F4D4C" w:rsidRDefault="00695E08" w:rsidP="00695E08">
      <w:pPr>
        <w:pStyle w:val="ListBullet"/>
        <w:numPr>
          <w:ilvl w:val="0"/>
          <w:numId w:val="7"/>
        </w:numPr>
        <w:spacing w:after="0"/>
        <w:rPr>
          <w:rFonts w:cs="Arial"/>
          <w:sz w:val="22"/>
        </w:rPr>
      </w:pPr>
      <w:r w:rsidRPr="006F4D4C">
        <w:rPr>
          <w:rFonts w:cs="Arial"/>
          <w:sz w:val="22"/>
        </w:rPr>
        <w:t>Regional customer</w:t>
      </w:r>
      <w:r w:rsidR="00856F00" w:rsidRPr="006F4D4C">
        <w:rPr>
          <w:rFonts w:cs="Arial"/>
          <w:sz w:val="22"/>
        </w:rPr>
        <w:t xml:space="preserve"> </w:t>
      </w:r>
      <w:r w:rsidRPr="006F4D4C">
        <w:rPr>
          <w:rFonts w:cs="Arial"/>
          <w:sz w:val="22"/>
        </w:rPr>
        <w:t>level analysis and Power BI dashboards: provincial AOV, regional reach, priority tiers, customer mix, and addressable gap visuals.</w:t>
      </w:r>
    </w:p>
    <w:p w14:paraId="7F6C68A5" w14:textId="77777777" w:rsidR="00695E08" w:rsidRPr="006F4D4C" w:rsidRDefault="00695E08" w:rsidP="00695E08">
      <w:pPr>
        <w:pStyle w:val="ListBullet"/>
        <w:numPr>
          <w:ilvl w:val="0"/>
          <w:numId w:val="7"/>
        </w:numPr>
        <w:spacing w:after="0"/>
        <w:rPr>
          <w:rFonts w:cs="Arial"/>
          <w:sz w:val="22"/>
        </w:rPr>
      </w:pPr>
      <w:r w:rsidRPr="006F4D4C">
        <w:rPr>
          <w:rFonts w:cs="Arial"/>
          <w:sz w:val="22"/>
        </w:rPr>
        <w:t>Python and pandas: validation, filtering, KPI calculation, segmentation, revenue concentration, annual summaries, and forecast checks.</w:t>
      </w:r>
    </w:p>
    <w:p w14:paraId="118D3627" w14:textId="0D744682" w:rsidR="00695E08" w:rsidRPr="006F4D4C" w:rsidRDefault="00695E08" w:rsidP="00695E08">
      <w:pPr>
        <w:pStyle w:val="ListBullet"/>
        <w:numPr>
          <w:ilvl w:val="0"/>
          <w:numId w:val="7"/>
        </w:numPr>
        <w:spacing w:after="0"/>
        <w:rPr>
          <w:rFonts w:cs="Arial"/>
          <w:sz w:val="22"/>
        </w:rPr>
      </w:pPr>
      <w:r w:rsidRPr="006F4D4C">
        <w:rPr>
          <w:rFonts w:cs="Arial"/>
          <w:sz w:val="22"/>
        </w:rPr>
        <w:t>Power BI: executive KPIs, trends, customer segments, regional priorities, drill</w:t>
      </w:r>
      <w:r w:rsidR="00856F00" w:rsidRPr="006F4D4C">
        <w:rPr>
          <w:rFonts w:cs="Arial"/>
          <w:sz w:val="22"/>
        </w:rPr>
        <w:t xml:space="preserve"> </w:t>
      </w:r>
      <w:r w:rsidRPr="006F4D4C">
        <w:rPr>
          <w:rFonts w:cs="Arial"/>
          <w:sz w:val="22"/>
        </w:rPr>
        <w:t>through analysis, and presentation visuals.</w:t>
      </w:r>
    </w:p>
    <w:p w14:paraId="6E91C467" w14:textId="77777777" w:rsidR="00695E08" w:rsidRPr="006F4D4C" w:rsidRDefault="00695E08" w:rsidP="001C3067">
      <w:pPr>
        <w:pStyle w:val="Heading2"/>
      </w:pPr>
      <w:bookmarkStart w:id="10" w:name="_Toc236853422"/>
      <w:r w:rsidRPr="006F4D4C">
        <w:t>Analytical Approach</w:t>
      </w:r>
      <w:bookmarkEnd w:id="10"/>
    </w:p>
    <w:p w14:paraId="39B1A2F7" w14:textId="77777777" w:rsidR="00716E2A" w:rsidRPr="006F4D4C" w:rsidRDefault="00695E08" w:rsidP="00716E2A">
      <w:pPr>
        <w:pStyle w:val="ListParagraph"/>
        <w:numPr>
          <w:ilvl w:val="0"/>
          <w:numId w:val="8"/>
        </w:numPr>
        <w:spacing w:after="0"/>
        <w:rPr>
          <w:rFonts w:ascii="Arial" w:hAnsi="Arial" w:cs="Arial"/>
          <w:sz w:val="22"/>
          <w:szCs w:val="22"/>
        </w:rPr>
      </w:pPr>
      <w:r w:rsidRPr="006F4D4C">
        <w:rPr>
          <w:rFonts w:ascii="Arial" w:hAnsi="Arial" w:cs="Arial"/>
          <w:sz w:val="22"/>
          <w:szCs w:val="22"/>
        </w:rPr>
        <w:t>Loaded 181,641 transaction rows and standardized dates and numeric fields.</w:t>
      </w:r>
    </w:p>
    <w:p w14:paraId="164A3AFA" w14:textId="77777777" w:rsidR="00716E2A" w:rsidRPr="006F4D4C" w:rsidRDefault="00695E08" w:rsidP="00716E2A">
      <w:pPr>
        <w:pStyle w:val="ListParagraph"/>
        <w:numPr>
          <w:ilvl w:val="0"/>
          <w:numId w:val="8"/>
        </w:numPr>
        <w:spacing w:after="0"/>
        <w:rPr>
          <w:rFonts w:ascii="Arial" w:hAnsi="Arial" w:cs="Arial"/>
          <w:sz w:val="22"/>
          <w:szCs w:val="22"/>
        </w:rPr>
      </w:pPr>
      <w:r w:rsidRPr="006F4D4C">
        <w:rPr>
          <w:rFonts w:ascii="Arial" w:hAnsi="Arial" w:cs="Arial"/>
          <w:sz w:val="22"/>
          <w:szCs w:val="22"/>
        </w:rPr>
        <w:t>Kept completed purchase statuses with positive net sales, producing 177,142 valid orders; refunds, fraud, reshipments, processing records, and non-positive completed records were excluded from core KPIs.</w:t>
      </w:r>
    </w:p>
    <w:p w14:paraId="28B60C0F" w14:textId="77777777" w:rsidR="00716E2A" w:rsidRPr="006F4D4C" w:rsidRDefault="00695E08" w:rsidP="00716E2A">
      <w:pPr>
        <w:pStyle w:val="ListParagraph"/>
        <w:numPr>
          <w:ilvl w:val="0"/>
          <w:numId w:val="8"/>
        </w:numPr>
        <w:spacing w:after="0"/>
        <w:rPr>
          <w:rFonts w:ascii="Arial" w:hAnsi="Arial" w:cs="Arial"/>
          <w:sz w:val="22"/>
          <w:szCs w:val="22"/>
        </w:rPr>
      </w:pPr>
      <w:r w:rsidRPr="006F4D4C">
        <w:rPr>
          <w:rFonts w:ascii="Arial" w:hAnsi="Arial" w:cs="Arial"/>
          <w:sz w:val="22"/>
          <w:szCs w:val="22"/>
        </w:rPr>
        <w:t>Calculated net sales, AOV, items per order, coupon rate, customer type, annual sales, and customer purchase frequency.</w:t>
      </w:r>
    </w:p>
    <w:p w14:paraId="10693B52" w14:textId="5F26D13E" w:rsidR="00716E2A" w:rsidRPr="006F4D4C" w:rsidRDefault="00695E08" w:rsidP="00716E2A">
      <w:pPr>
        <w:pStyle w:val="ListParagraph"/>
        <w:numPr>
          <w:ilvl w:val="0"/>
          <w:numId w:val="8"/>
        </w:numPr>
        <w:spacing w:after="0"/>
        <w:rPr>
          <w:rFonts w:ascii="Arial" w:hAnsi="Arial" w:cs="Arial"/>
          <w:sz w:val="22"/>
          <w:szCs w:val="22"/>
        </w:rPr>
      </w:pPr>
      <w:r w:rsidRPr="006F4D4C">
        <w:rPr>
          <w:rFonts w:ascii="Arial" w:hAnsi="Arial" w:cs="Arial"/>
          <w:sz w:val="22"/>
          <w:szCs w:val="22"/>
        </w:rPr>
        <w:t xml:space="preserve">Built </w:t>
      </w:r>
      <w:proofErr w:type="gramStart"/>
      <w:r w:rsidRPr="006F4D4C">
        <w:rPr>
          <w:rFonts w:ascii="Arial" w:hAnsi="Arial" w:cs="Arial"/>
          <w:sz w:val="22"/>
          <w:szCs w:val="22"/>
        </w:rPr>
        <w:t>rule</w:t>
      </w:r>
      <w:r w:rsidR="00856F00" w:rsidRPr="006F4D4C">
        <w:rPr>
          <w:rFonts w:ascii="Arial" w:hAnsi="Arial" w:cs="Arial"/>
          <w:sz w:val="22"/>
          <w:szCs w:val="22"/>
        </w:rPr>
        <w:t xml:space="preserve"> </w:t>
      </w:r>
      <w:r w:rsidRPr="006F4D4C">
        <w:rPr>
          <w:rFonts w:ascii="Arial" w:hAnsi="Arial" w:cs="Arial"/>
          <w:sz w:val="22"/>
          <w:szCs w:val="22"/>
        </w:rPr>
        <w:t>based</w:t>
      </w:r>
      <w:proofErr w:type="gramEnd"/>
      <w:r w:rsidRPr="006F4D4C">
        <w:rPr>
          <w:rFonts w:ascii="Arial" w:hAnsi="Arial" w:cs="Arial"/>
          <w:sz w:val="22"/>
          <w:szCs w:val="22"/>
        </w:rPr>
        <w:t xml:space="preserve"> planning segments from frequency, monetary value, recency, AOV, and coupon use; these are descriptive, not predictive.</w:t>
      </w:r>
    </w:p>
    <w:p w14:paraId="2F65EF95" w14:textId="77777777" w:rsidR="00716E2A" w:rsidRPr="006F4D4C" w:rsidRDefault="00695E08" w:rsidP="00716E2A">
      <w:pPr>
        <w:pStyle w:val="ListParagraph"/>
        <w:numPr>
          <w:ilvl w:val="0"/>
          <w:numId w:val="8"/>
        </w:numPr>
        <w:spacing w:after="0"/>
        <w:rPr>
          <w:rFonts w:ascii="Arial" w:hAnsi="Arial" w:cs="Arial"/>
          <w:sz w:val="22"/>
          <w:szCs w:val="22"/>
        </w:rPr>
      </w:pPr>
      <w:r w:rsidRPr="006F4D4C">
        <w:rPr>
          <w:rFonts w:ascii="Arial" w:hAnsi="Arial" w:cs="Arial"/>
          <w:sz w:val="22"/>
          <w:szCs w:val="22"/>
        </w:rPr>
        <w:t>Aggregated the monthly forecast into annual orders and net sales, then calculated implied order-level forecast AOV.</w:t>
      </w:r>
    </w:p>
    <w:p w14:paraId="2E9AE59B" w14:textId="259DBCEF" w:rsidR="00695E08" w:rsidRPr="006F4D4C" w:rsidRDefault="00695E08" w:rsidP="00716E2A">
      <w:pPr>
        <w:pStyle w:val="ListParagraph"/>
        <w:numPr>
          <w:ilvl w:val="0"/>
          <w:numId w:val="8"/>
        </w:numPr>
        <w:spacing w:after="0"/>
        <w:rPr>
          <w:rFonts w:ascii="Arial" w:hAnsi="Arial" w:cs="Arial"/>
          <w:sz w:val="22"/>
          <w:szCs w:val="22"/>
        </w:rPr>
      </w:pPr>
      <w:r w:rsidRPr="006F4D4C">
        <w:rPr>
          <w:rFonts w:ascii="Arial" w:hAnsi="Arial" w:cs="Arial"/>
          <w:sz w:val="22"/>
          <w:szCs w:val="22"/>
        </w:rPr>
        <w:t>Compared Python, Power BI, and the Data Preparation and Ethics report to identify metric differences, limitations, and governance needs.</w:t>
      </w:r>
    </w:p>
    <w:p w14:paraId="07673BA3" w14:textId="77777777" w:rsidR="00695E08" w:rsidRPr="006F4D4C" w:rsidRDefault="00695E08" w:rsidP="001C3067">
      <w:pPr>
        <w:pStyle w:val="Heading2"/>
      </w:pPr>
      <w:bookmarkStart w:id="11" w:name="_Toc236853423"/>
      <w:r w:rsidRPr="006F4D4C">
        <w:t>Why These Methods Were Chosen</w:t>
      </w:r>
      <w:bookmarkEnd w:id="11"/>
    </w:p>
    <w:p w14:paraId="1E6784E7" w14:textId="77777777" w:rsidR="00695E08" w:rsidRPr="006F4D4C" w:rsidRDefault="00695E08" w:rsidP="00716E2A">
      <w:pPr>
        <w:rPr>
          <w:rFonts w:ascii="Arial" w:hAnsi="Arial" w:cs="Arial"/>
          <w:sz w:val="22"/>
          <w:szCs w:val="22"/>
        </w:rPr>
      </w:pPr>
      <w:r w:rsidRPr="006F4D4C">
        <w:rPr>
          <w:rFonts w:ascii="Arial" w:hAnsi="Arial" w:cs="Arial"/>
          <w:sz w:val="22"/>
          <w:szCs w:val="22"/>
        </w:rPr>
        <w:t>Descriptive and diagnostic methods were appropriate because the data can show what happened and where opportunities exist, but it lacks the cost, campaign exposure, experimental assignment, and complete regional linkage needed to prove causal profit impact. Segmentation supports targeting, while forecast validation supports planning rather than statistical certainty.</w:t>
      </w:r>
    </w:p>
    <w:p w14:paraId="04625D99" w14:textId="77777777" w:rsidR="00695E08" w:rsidRPr="006F4D4C" w:rsidRDefault="00695E08" w:rsidP="001C3067">
      <w:pPr>
        <w:pStyle w:val="Heading2"/>
      </w:pPr>
      <w:bookmarkStart w:id="12" w:name="_Toc236853424"/>
      <w:r w:rsidRPr="006F4D4C">
        <w:t>Ethics and Governance Embedded in the Method</w:t>
      </w:r>
      <w:bookmarkEnd w:id="12"/>
    </w:p>
    <w:p w14:paraId="4CAD7B97" w14:textId="6BD7AE8F" w:rsidR="00695E08" w:rsidRPr="006F4D4C" w:rsidRDefault="00695E08" w:rsidP="00716E2A">
      <w:pPr>
        <w:rPr>
          <w:rFonts w:ascii="Arial" w:hAnsi="Arial" w:cs="Arial"/>
          <w:sz w:val="22"/>
          <w:szCs w:val="22"/>
        </w:rPr>
      </w:pPr>
      <w:r w:rsidRPr="006F4D4C">
        <w:rPr>
          <w:rFonts w:ascii="Arial" w:hAnsi="Arial" w:cs="Arial"/>
          <w:sz w:val="22"/>
          <w:szCs w:val="22"/>
        </w:rPr>
        <w:t>The method protects confidential data, uses aggregated reporting where possible, preserves source files, documents transformations, and acknowledges bias and sample</w:t>
      </w:r>
      <w:r w:rsidR="00856F00" w:rsidRPr="006F4D4C">
        <w:rPr>
          <w:rFonts w:ascii="Arial" w:hAnsi="Arial" w:cs="Arial"/>
          <w:sz w:val="22"/>
          <w:szCs w:val="22"/>
        </w:rPr>
        <w:t xml:space="preserve"> </w:t>
      </w:r>
      <w:r w:rsidRPr="006F4D4C">
        <w:rPr>
          <w:rFonts w:ascii="Arial" w:hAnsi="Arial" w:cs="Arial"/>
          <w:sz w:val="22"/>
          <w:szCs w:val="22"/>
        </w:rPr>
        <w:t>size limits. Recommendations must not target underage individuals or encourage irresponsible use. PIPEDA principles on purpose limitation, limited collection, accuracy, safeguards, and accountability provide the governance framework (Office of the Privacy Commissioner of Canada, 2025).</w:t>
      </w:r>
    </w:p>
    <w:p w14:paraId="5D1A24A5" w14:textId="6BD7AE8F" w:rsidR="00C32A54" w:rsidRPr="006F4D4C" w:rsidRDefault="00C32A54" w:rsidP="001C3067">
      <w:pPr>
        <w:pStyle w:val="Heading1"/>
      </w:pPr>
      <w:bookmarkStart w:id="13" w:name="_Toc236853425"/>
      <w:r w:rsidRPr="006F4D4C">
        <w:lastRenderedPageBreak/>
        <w:t>LIMITATION</w:t>
      </w:r>
      <w:bookmarkEnd w:id="13"/>
    </w:p>
    <w:p w14:paraId="497F08D9" w14:textId="77777777" w:rsidR="00716E2A" w:rsidRPr="006F4D4C" w:rsidRDefault="00716E2A" w:rsidP="00716E2A">
      <w:pPr>
        <w:pStyle w:val="pdq2pgselectionanchorcontainer"/>
        <w:rPr>
          <w:rFonts w:ascii="Arial" w:hAnsi="Arial" w:cs="Arial"/>
          <w:color w:val="000000" w:themeColor="text1"/>
          <w:sz w:val="22"/>
          <w:szCs w:val="22"/>
        </w:rPr>
      </w:pPr>
      <w:r w:rsidRPr="006F4D4C">
        <w:rPr>
          <w:rFonts w:ascii="Arial" w:hAnsi="Arial" w:cs="Arial"/>
          <w:color w:val="000000" w:themeColor="text1"/>
          <w:sz w:val="22"/>
          <w:szCs w:val="22"/>
        </w:rPr>
        <w:t>One major limitation of this project is that the available datasets could not be fully connected. The transaction dataset did not include a region field, so the team could not directly link regional performance to individual orders, products, coupons, or customer types. The data also did not include product costs, campaign expenses, shipping fees, profit margins, or marketing exposure. Therefore, the analysis can identify possible revenue opportunities, but it cannot confirm actual profit or return on investment.</w:t>
      </w:r>
    </w:p>
    <w:p w14:paraId="232FD823" w14:textId="77777777" w:rsidR="00E411A8" w:rsidRPr="006F4D4C" w:rsidRDefault="00716E2A" w:rsidP="00E411A8">
      <w:pPr>
        <w:pStyle w:val="NormalWeb"/>
        <w:rPr>
          <w:rFonts w:ascii="Arial" w:hAnsi="Arial" w:cs="Arial"/>
          <w:color w:val="000000" w:themeColor="text1"/>
          <w:sz w:val="22"/>
          <w:szCs w:val="22"/>
        </w:rPr>
      </w:pPr>
      <w:r w:rsidRPr="006F4D4C">
        <w:rPr>
          <w:rFonts w:ascii="Arial" w:hAnsi="Arial" w:cs="Arial"/>
          <w:color w:val="000000" w:themeColor="text1"/>
          <w:sz w:val="22"/>
          <w:szCs w:val="22"/>
        </w:rPr>
        <w:t>The product descriptions were also not fully consistent, and the project contained different AOV measures because they were calculated at different levels. In addition, the forecast file did not provide information about the forecasting method, confidence intervals, or accuracy measures. Customer segments were created from past purchasing behaviour, so they may not predict how customers will respond to future campaigns. Finally, age-eligibility information was not included in the analytical data, so all marketing recommendations would require proper age verification and compliance checks before implementation.</w:t>
      </w:r>
    </w:p>
    <w:p w14:paraId="5536EC86" w14:textId="76E3FB62" w:rsidR="00C32A54" w:rsidRPr="006F4D4C" w:rsidRDefault="00C32A54" w:rsidP="001C3067">
      <w:pPr>
        <w:pStyle w:val="Heading1"/>
        <w:rPr>
          <w:color w:val="000000" w:themeColor="text1"/>
        </w:rPr>
      </w:pPr>
      <w:bookmarkStart w:id="14" w:name="_Toc236853426"/>
      <w:r w:rsidRPr="006F4D4C">
        <w:t>FINDINGS &amp; ANALYSIS</w:t>
      </w:r>
      <w:bookmarkEnd w:id="14"/>
    </w:p>
    <w:p w14:paraId="1E660295" w14:textId="373D1090" w:rsidR="00716E2A" w:rsidRPr="006F4D4C" w:rsidRDefault="00716E2A" w:rsidP="001C3067">
      <w:pPr>
        <w:pStyle w:val="Heading2"/>
      </w:pPr>
      <w:bookmarkStart w:id="15" w:name="_Toc236853427"/>
      <w:r w:rsidRPr="006F4D4C">
        <w:t>Executive Sales Performance</w:t>
      </w:r>
      <w:bookmarkEnd w:id="15"/>
    </w:p>
    <w:p w14:paraId="5CA02302" w14:textId="19924DC6" w:rsidR="00716E2A" w:rsidRPr="006F4D4C" w:rsidRDefault="00716E2A" w:rsidP="00716E2A">
      <w:pPr>
        <w:rPr>
          <w:rFonts w:ascii="Arial" w:hAnsi="Arial" w:cs="Arial"/>
          <w:color w:val="000000" w:themeColor="text1"/>
          <w:sz w:val="22"/>
          <w:szCs w:val="22"/>
        </w:rPr>
      </w:pPr>
      <w:r w:rsidRPr="006F4D4C">
        <w:rPr>
          <w:rFonts w:ascii="Arial" w:hAnsi="Arial" w:cs="Arial"/>
          <w:color w:val="000000" w:themeColor="text1"/>
          <w:sz w:val="22"/>
          <w:szCs w:val="22"/>
        </w:rPr>
        <w:t>The executive dashboard shows about $18 million in completed net sales, 178,000 orders, AOV near $102, 23,000 identifiable customers, and a 13% coupon order rate. Python results closely match: $18,173,726 in net sales, 177,142 orders, 22,569 customers, $102.59 AOV, 3.02 items per order, and a 13.0% coupon rate.</w:t>
      </w:r>
    </w:p>
    <w:p w14:paraId="03367E83" w14:textId="7EEDF9EF" w:rsidR="00716E2A" w:rsidRPr="006F4D4C" w:rsidRDefault="00716E2A">
      <w:pPr>
        <w:rPr>
          <w:rFonts w:ascii="Arial" w:hAnsi="Arial" w:cs="Arial"/>
          <w:sz w:val="22"/>
          <w:szCs w:val="22"/>
        </w:rPr>
      </w:pPr>
      <w:r w:rsidRPr="006F4D4C">
        <w:rPr>
          <w:rFonts w:ascii="Arial" w:hAnsi="Arial" w:cs="Arial"/>
          <w:noProof/>
          <w:color w:val="000000" w:themeColor="text1"/>
          <w:sz w:val="22"/>
          <w:szCs w:val="22"/>
        </w:rPr>
        <w:drawing>
          <wp:inline distT="0" distB="0" distL="0" distR="0" wp14:anchorId="0A9A44E8" wp14:editId="2A46C30D">
            <wp:extent cx="4930346" cy="2446020"/>
            <wp:effectExtent l="0" t="0" r="0" b="5080"/>
            <wp:docPr id="1" name="Picture 1" descr="Canada Vapes sales dashboard showing net sales, orders, AOV, repeat customers, coupon rate, segment sales, returning versus new customers, and top products." title="Executive Sale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dashboard.png"/>
                    <pic:cNvPicPr/>
                  </pic:nvPicPr>
                  <pic:blipFill>
                    <a:blip r:embed="rId9"/>
                    <a:stretch>
                      <a:fillRect/>
                    </a:stretch>
                  </pic:blipFill>
                  <pic:spPr>
                    <a:xfrm>
                      <a:off x="0" y="0"/>
                      <a:ext cx="4953239" cy="2457378"/>
                    </a:xfrm>
                    <a:prstGeom prst="rect">
                      <a:avLst/>
                    </a:prstGeom>
                  </pic:spPr>
                </pic:pic>
              </a:graphicData>
            </a:graphic>
          </wp:inline>
        </w:drawing>
      </w:r>
    </w:p>
    <w:p w14:paraId="735855C0" w14:textId="1EDEA528" w:rsidR="0091402F" w:rsidRPr="006F4D4C" w:rsidRDefault="00716E2A" w:rsidP="001C3067">
      <w:pPr>
        <w:pStyle w:val="Heading3"/>
      </w:pPr>
      <w:bookmarkStart w:id="16" w:name="_Toc236853428"/>
      <w:r w:rsidRPr="006F4D4C">
        <w:rPr>
          <w:b/>
        </w:rPr>
        <w:t xml:space="preserve">Figure </w:t>
      </w:r>
      <w:r w:rsidRPr="006F4D4C">
        <w:rPr>
          <w:b/>
        </w:rPr>
        <w:t xml:space="preserve">1: </w:t>
      </w:r>
      <w:r w:rsidRPr="006F4D4C">
        <w:t>Executive Sales Dashboard</w:t>
      </w:r>
      <w:bookmarkEnd w:id="16"/>
    </w:p>
    <w:p w14:paraId="7F468067" w14:textId="101F512C" w:rsidR="00716E2A" w:rsidRPr="006F4D4C" w:rsidRDefault="00716E2A" w:rsidP="00716E2A">
      <w:pPr>
        <w:rPr>
          <w:rFonts w:ascii="Arial" w:hAnsi="Arial" w:cs="Arial"/>
          <w:color w:val="000000" w:themeColor="text1"/>
          <w:sz w:val="22"/>
          <w:szCs w:val="22"/>
        </w:rPr>
      </w:pPr>
      <w:r w:rsidRPr="006F4D4C">
        <w:rPr>
          <w:rFonts w:ascii="Arial" w:hAnsi="Arial" w:cs="Arial"/>
          <w:color w:val="000000" w:themeColor="text1"/>
          <w:sz w:val="22"/>
          <w:szCs w:val="22"/>
        </w:rPr>
        <w:t>Together, the visuals show that champion, loyal, and returning customers form the strongest revenue base. Top products offer cross</w:t>
      </w:r>
      <w:r w:rsidR="00856F00" w:rsidRPr="006F4D4C">
        <w:rPr>
          <w:rFonts w:ascii="Arial" w:hAnsi="Arial" w:cs="Arial"/>
          <w:color w:val="000000" w:themeColor="text1"/>
          <w:sz w:val="22"/>
          <w:szCs w:val="22"/>
        </w:rPr>
        <w:t>-</w:t>
      </w:r>
      <w:r w:rsidRPr="006F4D4C">
        <w:rPr>
          <w:rFonts w:ascii="Arial" w:hAnsi="Arial" w:cs="Arial"/>
          <w:color w:val="000000" w:themeColor="text1"/>
          <w:sz w:val="22"/>
          <w:szCs w:val="22"/>
        </w:rPr>
        <w:t>sell ideas, but product text should first be standardized into governed product and category fields.</w:t>
      </w:r>
    </w:p>
    <w:p w14:paraId="4EB8FE88" w14:textId="08666D59" w:rsidR="00716E2A" w:rsidRPr="006F4D4C" w:rsidRDefault="00716E2A" w:rsidP="00716E2A">
      <w:pPr>
        <w:rPr>
          <w:rFonts w:ascii="Arial" w:hAnsi="Arial" w:cs="Arial"/>
          <w:color w:val="000000" w:themeColor="text1"/>
          <w:sz w:val="22"/>
          <w:szCs w:val="22"/>
        </w:rPr>
      </w:pPr>
      <w:r w:rsidRPr="006F4D4C">
        <w:rPr>
          <w:rFonts w:ascii="Arial" w:hAnsi="Arial" w:cs="Arial"/>
          <w:color w:val="000000" w:themeColor="text1"/>
          <w:sz w:val="22"/>
          <w:szCs w:val="22"/>
        </w:rPr>
        <w:lastRenderedPageBreak/>
        <w:t xml:space="preserve">The </w:t>
      </w:r>
      <w:proofErr w:type="gramStart"/>
      <w:r w:rsidRPr="006F4D4C">
        <w:rPr>
          <w:rFonts w:ascii="Arial" w:hAnsi="Arial" w:cs="Arial"/>
          <w:color w:val="000000" w:themeColor="text1"/>
          <w:sz w:val="22"/>
          <w:szCs w:val="22"/>
        </w:rPr>
        <w:t>rule</w:t>
      </w:r>
      <w:r w:rsidR="00856F00"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based</w:t>
      </w:r>
      <w:proofErr w:type="gramEnd"/>
      <w:r w:rsidRPr="006F4D4C">
        <w:rPr>
          <w:rFonts w:ascii="Arial" w:hAnsi="Arial" w:cs="Arial"/>
          <w:color w:val="000000" w:themeColor="text1"/>
          <w:sz w:val="22"/>
          <w:szCs w:val="22"/>
        </w:rPr>
        <w:t xml:space="preserve"> segmentation identified 3,707 champions who generated $13,655,454, or 75.1% of completed net sales. This is a useful test audience, not proof that every champion will respond to the same offer.</w:t>
      </w:r>
    </w:p>
    <w:p w14:paraId="2A097EB3" w14:textId="25DC1CB2" w:rsidR="00716E2A" w:rsidRPr="006F4D4C" w:rsidRDefault="00716E2A" w:rsidP="001C3067">
      <w:pPr>
        <w:pStyle w:val="Heading2"/>
      </w:pPr>
      <w:bookmarkStart w:id="17" w:name="_Toc236853429"/>
      <w:r w:rsidRPr="006F4D4C">
        <w:t>Sales Growth and Three-Year Forecast</w:t>
      </w:r>
      <w:bookmarkEnd w:id="17"/>
    </w:p>
    <w:p w14:paraId="494E63F5" w14:textId="77777777" w:rsidR="00716E2A" w:rsidRPr="006F4D4C" w:rsidRDefault="00716E2A" w:rsidP="00716E2A">
      <w:pPr>
        <w:rPr>
          <w:rFonts w:ascii="Arial" w:hAnsi="Arial" w:cs="Arial"/>
          <w:color w:val="000000" w:themeColor="text1"/>
          <w:sz w:val="22"/>
          <w:szCs w:val="22"/>
        </w:rPr>
      </w:pPr>
      <w:r w:rsidRPr="006F4D4C">
        <w:rPr>
          <w:rFonts w:ascii="Arial" w:hAnsi="Arial" w:cs="Arial"/>
          <w:color w:val="000000" w:themeColor="text1"/>
          <w:sz w:val="22"/>
          <w:szCs w:val="22"/>
        </w:rPr>
        <w:t>Completed net sales rose from $1,970,079 in 2021 to $5,268,416 in 2025, a 27.9% compound annual growth rate. In 2025, sales grew faster than orders, showing that basket value also contributed.</w:t>
      </w:r>
    </w:p>
    <w:p w14:paraId="17F41F25" w14:textId="3B42E5DC" w:rsidR="00716E2A" w:rsidRPr="006F4D4C" w:rsidRDefault="00716E2A" w:rsidP="00716E2A">
      <w:pPr>
        <w:keepNext/>
        <w:spacing w:after="80"/>
        <w:rPr>
          <w:rFonts w:ascii="Arial" w:hAnsi="Arial" w:cs="Arial"/>
          <w:color w:val="000000" w:themeColor="text1"/>
          <w:sz w:val="22"/>
          <w:szCs w:val="22"/>
        </w:rPr>
      </w:pPr>
      <w:r w:rsidRPr="006F4D4C">
        <w:rPr>
          <w:rFonts w:ascii="Arial" w:hAnsi="Arial" w:cs="Arial"/>
          <w:noProof/>
          <w:color w:val="000000" w:themeColor="text1"/>
          <w:sz w:val="22"/>
          <w:szCs w:val="22"/>
        </w:rPr>
        <w:drawing>
          <wp:inline distT="0" distB="0" distL="0" distR="0" wp14:anchorId="1078EEFC" wp14:editId="72DA3AF0">
            <wp:extent cx="5585254" cy="2680970"/>
            <wp:effectExtent l="0" t="0" r="3175" b="0"/>
            <wp:docPr id="2" name="Picture 2" descr="Dashboard showing actual net sales from 2021 to 2025, forecast sales to 2028, incremental revenue opportunity scenarios, and average net sales by customer type." title="Historical Net Sales and Three-Year Forecas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ustomer_dashboard.png"/>
                    <pic:cNvPicPr/>
                  </pic:nvPicPr>
                  <pic:blipFill>
                    <a:blip r:embed="rId10"/>
                    <a:stretch>
                      <a:fillRect/>
                    </a:stretch>
                  </pic:blipFill>
                  <pic:spPr>
                    <a:xfrm>
                      <a:off x="0" y="0"/>
                      <a:ext cx="5652259" cy="2713133"/>
                    </a:xfrm>
                    <a:prstGeom prst="rect">
                      <a:avLst/>
                    </a:prstGeom>
                  </pic:spPr>
                </pic:pic>
              </a:graphicData>
            </a:graphic>
          </wp:inline>
        </w:drawing>
      </w:r>
    </w:p>
    <w:p w14:paraId="52C0DCC7" w14:textId="6E5B1082" w:rsidR="0091402F" w:rsidRPr="001C3067" w:rsidRDefault="00716E2A" w:rsidP="001C3067">
      <w:pPr>
        <w:pStyle w:val="Heading3"/>
      </w:pPr>
      <w:bookmarkStart w:id="18" w:name="_Toc236853430"/>
      <w:r w:rsidRPr="006F4D4C">
        <w:rPr>
          <w:b/>
        </w:rPr>
        <w:t xml:space="preserve">Figure </w:t>
      </w:r>
      <w:r w:rsidR="00E411A8" w:rsidRPr="006F4D4C">
        <w:rPr>
          <w:b/>
        </w:rPr>
        <w:t>2</w:t>
      </w:r>
      <w:r w:rsidR="00E411A8" w:rsidRPr="006F4D4C">
        <w:t>: Historical</w:t>
      </w:r>
      <w:r w:rsidRPr="006F4D4C">
        <w:t xml:space="preserve"> Net Sales and Three-Year Forecast Dashboard</w:t>
      </w:r>
      <w:bookmarkEnd w:id="18"/>
    </w:p>
    <w:p w14:paraId="73CFCBEF" w14:textId="20E13464" w:rsidR="0091402F" w:rsidRPr="006F4D4C" w:rsidRDefault="0091402F" w:rsidP="001C3067">
      <w:pPr>
        <w:pStyle w:val="Heading3"/>
      </w:pPr>
      <w:bookmarkStart w:id="19" w:name="_Toc236853431"/>
      <w:r w:rsidRPr="006F4D4C">
        <w:t>Customer Average and forecast AOV</w:t>
      </w:r>
      <w:bookmarkEnd w:id="19"/>
    </w:p>
    <w:tbl>
      <w:tblPr>
        <w:tblStyle w:val="TableGrid"/>
        <w:tblW w:w="8344" w:type="dxa"/>
        <w:jc w:val="center"/>
        <w:tblLook w:val="04A0" w:firstRow="1" w:lastRow="0" w:firstColumn="1" w:lastColumn="0" w:noHBand="0" w:noVBand="1"/>
      </w:tblPr>
      <w:tblGrid>
        <w:gridCol w:w="1118"/>
        <w:gridCol w:w="1533"/>
        <w:gridCol w:w="1708"/>
        <w:gridCol w:w="1707"/>
        <w:gridCol w:w="2278"/>
      </w:tblGrid>
      <w:tr w:rsidR="006F4D4C" w:rsidRPr="00753FE5" w14:paraId="1FB901B0" w14:textId="77777777" w:rsidTr="0091402F">
        <w:trPr>
          <w:trHeight w:val="355"/>
          <w:jc w:val="center"/>
        </w:trPr>
        <w:tc>
          <w:tcPr>
            <w:tcW w:w="1118" w:type="dxa"/>
            <w:vAlign w:val="center"/>
          </w:tcPr>
          <w:p w14:paraId="722372BD" w14:textId="33F73053" w:rsidR="00716E2A" w:rsidRPr="00753FE5" w:rsidRDefault="00716E2A" w:rsidP="00716E2A">
            <w:pPr>
              <w:rPr>
                <w:rFonts w:ascii="Arial" w:hAnsi="Arial" w:cs="Arial"/>
                <w:sz w:val="20"/>
                <w:szCs w:val="20"/>
              </w:rPr>
            </w:pPr>
            <w:r w:rsidRPr="00753FE5">
              <w:rPr>
                <w:rFonts w:ascii="Arial" w:hAnsi="Arial" w:cs="Arial"/>
                <w:b/>
                <w:color w:val="000000" w:themeColor="text1"/>
                <w:sz w:val="20"/>
                <w:szCs w:val="20"/>
              </w:rPr>
              <w:t>Year</w:t>
            </w:r>
          </w:p>
        </w:tc>
        <w:tc>
          <w:tcPr>
            <w:tcW w:w="1533" w:type="dxa"/>
            <w:vAlign w:val="center"/>
          </w:tcPr>
          <w:p w14:paraId="00DD1E45" w14:textId="742BFD6C" w:rsidR="00716E2A" w:rsidRPr="00753FE5" w:rsidRDefault="00716E2A" w:rsidP="00716E2A">
            <w:pPr>
              <w:rPr>
                <w:rFonts w:ascii="Arial" w:hAnsi="Arial" w:cs="Arial"/>
                <w:sz w:val="20"/>
                <w:szCs w:val="20"/>
              </w:rPr>
            </w:pPr>
            <w:r w:rsidRPr="00753FE5">
              <w:rPr>
                <w:rFonts w:ascii="Arial" w:hAnsi="Arial" w:cs="Arial"/>
                <w:b/>
                <w:color w:val="000000" w:themeColor="text1"/>
                <w:sz w:val="20"/>
                <w:szCs w:val="20"/>
              </w:rPr>
              <w:t>Type</w:t>
            </w:r>
          </w:p>
        </w:tc>
        <w:tc>
          <w:tcPr>
            <w:tcW w:w="1708" w:type="dxa"/>
            <w:vAlign w:val="center"/>
          </w:tcPr>
          <w:p w14:paraId="1F4A0253" w14:textId="6AD28823" w:rsidR="00716E2A" w:rsidRPr="00753FE5" w:rsidRDefault="00716E2A" w:rsidP="00716E2A">
            <w:pPr>
              <w:rPr>
                <w:rFonts w:ascii="Arial" w:hAnsi="Arial" w:cs="Arial"/>
                <w:sz w:val="20"/>
                <w:szCs w:val="20"/>
              </w:rPr>
            </w:pPr>
            <w:r w:rsidRPr="00753FE5">
              <w:rPr>
                <w:rFonts w:ascii="Arial" w:hAnsi="Arial" w:cs="Arial"/>
                <w:b/>
                <w:color w:val="000000" w:themeColor="text1"/>
                <w:sz w:val="20"/>
                <w:szCs w:val="20"/>
              </w:rPr>
              <w:t>Net sales</w:t>
            </w:r>
          </w:p>
        </w:tc>
        <w:tc>
          <w:tcPr>
            <w:tcW w:w="1707" w:type="dxa"/>
            <w:vAlign w:val="center"/>
          </w:tcPr>
          <w:p w14:paraId="4AEEEAE1" w14:textId="175902CA" w:rsidR="00716E2A" w:rsidRPr="00753FE5" w:rsidRDefault="00716E2A" w:rsidP="00716E2A">
            <w:pPr>
              <w:rPr>
                <w:rFonts w:ascii="Arial" w:hAnsi="Arial" w:cs="Arial"/>
                <w:sz w:val="20"/>
                <w:szCs w:val="20"/>
              </w:rPr>
            </w:pPr>
            <w:r w:rsidRPr="00753FE5">
              <w:rPr>
                <w:rFonts w:ascii="Arial" w:hAnsi="Arial" w:cs="Arial"/>
                <w:b/>
                <w:color w:val="000000" w:themeColor="text1"/>
                <w:sz w:val="20"/>
                <w:szCs w:val="20"/>
              </w:rPr>
              <w:t>Orders</w:t>
            </w:r>
          </w:p>
        </w:tc>
        <w:tc>
          <w:tcPr>
            <w:tcW w:w="2278" w:type="dxa"/>
            <w:vAlign w:val="center"/>
          </w:tcPr>
          <w:p w14:paraId="22C5945A" w14:textId="4A80A41D" w:rsidR="00716E2A" w:rsidRPr="00753FE5" w:rsidRDefault="00716E2A" w:rsidP="00716E2A">
            <w:pPr>
              <w:rPr>
                <w:rFonts w:ascii="Arial" w:hAnsi="Arial" w:cs="Arial"/>
                <w:sz w:val="20"/>
                <w:szCs w:val="20"/>
              </w:rPr>
            </w:pPr>
            <w:r w:rsidRPr="00753FE5">
              <w:rPr>
                <w:rFonts w:ascii="Arial" w:hAnsi="Arial" w:cs="Arial"/>
                <w:b/>
                <w:color w:val="000000" w:themeColor="text1"/>
                <w:sz w:val="20"/>
                <w:szCs w:val="20"/>
              </w:rPr>
              <w:t>Implied order AOV</w:t>
            </w:r>
          </w:p>
        </w:tc>
      </w:tr>
      <w:tr w:rsidR="006F4D4C" w:rsidRPr="00753FE5" w14:paraId="017947A3" w14:textId="77777777" w:rsidTr="0091402F">
        <w:trPr>
          <w:trHeight w:val="355"/>
          <w:jc w:val="center"/>
        </w:trPr>
        <w:tc>
          <w:tcPr>
            <w:tcW w:w="1118" w:type="dxa"/>
          </w:tcPr>
          <w:p w14:paraId="721BFEE0" w14:textId="2D05A251"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2021</w:t>
            </w:r>
          </w:p>
        </w:tc>
        <w:tc>
          <w:tcPr>
            <w:tcW w:w="1533" w:type="dxa"/>
          </w:tcPr>
          <w:p w14:paraId="29CDB80E" w14:textId="56A61C7B"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Actual</w:t>
            </w:r>
          </w:p>
        </w:tc>
        <w:tc>
          <w:tcPr>
            <w:tcW w:w="1708" w:type="dxa"/>
          </w:tcPr>
          <w:p w14:paraId="63783F5A" w14:textId="29BDA1AD"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$1,970,079</w:t>
            </w:r>
          </w:p>
        </w:tc>
        <w:tc>
          <w:tcPr>
            <w:tcW w:w="1707" w:type="dxa"/>
          </w:tcPr>
          <w:p w14:paraId="3504EE41" w14:textId="4CCCCF7B"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22,093</w:t>
            </w:r>
          </w:p>
        </w:tc>
        <w:tc>
          <w:tcPr>
            <w:tcW w:w="2278" w:type="dxa"/>
          </w:tcPr>
          <w:p w14:paraId="73886F30" w14:textId="4424BAC3"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$89.17</w:t>
            </w:r>
          </w:p>
        </w:tc>
      </w:tr>
      <w:tr w:rsidR="006F4D4C" w:rsidRPr="00753FE5" w14:paraId="4B927546" w14:textId="77777777" w:rsidTr="0091402F">
        <w:trPr>
          <w:trHeight w:val="355"/>
          <w:jc w:val="center"/>
        </w:trPr>
        <w:tc>
          <w:tcPr>
            <w:tcW w:w="1118" w:type="dxa"/>
          </w:tcPr>
          <w:p w14:paraId="26651959" w14:textId="4C30BFD0"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2022</w:t>
            </w:r>
          </w:p>
        </w:tc>
        <w:tc>
          <w:tcPr>
            <w:tcW w:w="1533" w:type="dxa"/>
          </w:tcPr>
          <w:p w14:paraId="1FA33D68" w14:textId="3D9F8B73"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Actual</w:t>
            </w:r>
          </w:p>
        </w:tc>
        <w:tc>
          <w:tcPr>
            <w:tcW w:w="1708" w:type="dxa"/>
          </w:tcPr>
          <w:p w14:paraId="42879336" w14:textId="6AF0202B"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$2,730,735</w:t>
            </w:r>
          </w:p>
        </w:tc>
        <w:tc>
          <w:tcPr>
            <w:tcW w:w="1707" w:type="dxa"/>
          </w:tcPr>
          <w:p w14:paraId="22BF5369" w14:textId="68408230"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30,862</w:t>
            </w:r>
          </w:p>
        </w:tc>
        <w:tc>
          <w:tcPr>
            <w:tcW w:w="2278" w:type="dxa"/>
          </w:tcPr>
          <w:p w14:paraId="326BB266" w14:textId="501D9697"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$88.48</w:t>
            </w:r>
          </w:p>
        </w:tc>
      </w:tr>
      <w:tr w:rsidR="006F4D4C" w:rsidRPr="00753FE5" w14:paraId="6CF050AD" w14:textId="77777777" w:rsidTr="0091402F">
        <w:trPr>
          <w:trHeight w:val="355"/>
          <w:jc w:val="center"/>
        </w:trPr>
        <w:tc>
          <w:tcPr>
            <w:tcW w:w="1118" w:type="dxa"/>
          </w:tcPr>
          <w:p w14:paraId="449B3108" w14:textId="053B65DC"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2023</w:t>
            </w:r>
          </w:p>
        </w:tc>
        <w:tc>
          <w:tcPr>
            <w:tcW w:w="1533" w:type="dxa"/>
          </w:tcPr>
          <w:p w14:paraId="06D42F3A" w14:textId="2CB5A2C8"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Actual</w:t>
            </w:r>
          </w:p>
        </w:tc>
        <w:tc>
          <w:tcPr>
            <w:tcW w:w="1708" w:type="dxa"/>
          </w:tcPr>
          <w:p w14:paraId="0D42E025" w14:textId="190F05EA"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$3,535,304</w:t>
            </w:r>
          </w:p>
        </w:tc>
        <w:tc>
          <w:tcPr>
            <w:tcW w:w="1707" w:type="dxa"/>
          </w:tcPr>
          <w:p w14:paraId="25212487" w14:textId="0DCF69D8"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33,443</w:t>
            </w:r>
          </w:p>
        </w:tc>
        <w:tc>
          <w:tcPr>
            <w:tcW w:w="2278" w:type="dxa"/>
          </w:tcPr>
          <w:p w14:paraId="045E8D8E" w14:textId="1A271133"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$105.71</w:t>
            </w:r>
          </w:p>
        </w:tc>
      </w:tr>
      <w:tr w:rsidR="006F4D4C" w:rsidRPr="00753FE5" w14:paraId="7EDD0726" w14:textId="77777777" w:rsidTr="0091402F">
        <w:trPr>
          <w:trHeight w:val="355"/>
          <w:jc w:val="center"/>
        </w:trPr>
        <w:tc>
          <w:tcPr>
            <w:tcW w:w="1118" w:type="dxa"/>
          </w:tcPr>
          <w:p w14:paraId="029CC263" w14:textId="52BF4D7C"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2024</w:t>
            </w:r>
          </w:p>
        </w:tc>
        <w:tc>
          <w:tcPr>
            <w:tcW w:w="1533" w:type="dxa"/>
          </w:tcPr>
          <w:p w14:paraId="3507D0A4" w14:textId="4F328AA1"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Actual</w:t>
            </w:r>
          </w:p>
        </w:tc>
        <w:tc>
          <w:tcPr>
            <w:tcW w:w="1708" w:type="dxa"/>
          </w:tcPr>
          <w:p w14:paraId="124A87FD" w14:textId="706291E2"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$4,657,146</w:t>
            </w:r>
          </w:p>
        </w:tc>
        <w:tc>
          <w:tcPr>
            <w:tcW w:w="1707" w:type="dxa"/>
          </w:tcPr>
          <w:p w14:paraId="55D3452A" w14:textId="691C475A"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44,504</w:t>
            </w:r>
          </w:p>
        </w:tc>
        <w:tc>
          <w:tcPr>
            <w:tcW w:w="2278" w:type="dxa"/>
          </w:tcPr>
          <w:p w14:paraId="6FA90ADF" w14:textId="67CB8C0B"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$104.65</w:t>
            </w:r>
          </w:p>
        </w:tc>
      </w:tr>
      <w:tr w:rsidR="006F4D4C" w:rsidRPr="00753FE5" w14:paraId="64133AAA" w14:textId="77777777" w:rsidTr="0091402F">
        <w:trPr>
          <w:trHeight w:val="324"/>
          <w:jc w:val="center"/>
        </w:trPr>
        <w:tc>
          <w:tcPr>
            <w:tcW w:w="1118" w:type="dxa"/>
          </w:tcPr>
          <w:p w14:paraId="0DF717EE" w14:textId="100C8077"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2025</w:t>
            </w:r>
          </w:p>
        </w:tc>
        <w:tc>
          <w:tcPr>
            <w:tcW w:w="1533" w:type="dxa"/>
          </w:tcPr>
          <w:p w14:paraId="1D70653A" w14:textId="60FD1043"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Actual</w:t>
            </w:r>
          </w:p>
        </w:tc>
        <w:tc>
          <w:tcPr>
            <w:tcW w:w="1708" w:type="dxa"/>
          </w:tcPr>
          <w:p w14:paraId="1E208B6E" w14:textId="10838DEE"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$5,268,416</w:t>
            </w:r>
          </w:p>
        </w:tc>
        <w:tc>
          <w:tcPr>
            <w:tcW w:w="1707" w:type="dxa"/>
          </w:tcPr>
          <w:p w14:paraId="2451A0D8" w14:textId="7CEA3743"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46,119</w:t>
            </w:r>
          </w:p>
        </w:tc>
        <w:tc>
          <w:tcPr>
            <w:tcW w:w="2278" w:type="dxa"/>
          </w:tcPr>
          <w:p w14:paraId="4B9E77C8" w14:textId="06C87CE2"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$114.24</w:t>
            </w:r>
          </w:p>
        </w:tc>
      </w:tr>
      <w:tr w:rsidR="006F4D4C" w:rsidRPr="00753FE5" w14:paraId="64FD2FB2" w14:textId="77777777" w:rsidTr="0091402F">
        <w:trPr>
          <w:trHeight w:val="355"/>
          <w:jc w:val="center"/>
        </w:trPr>
        <w:tc>
          <w:tcPr>
            <w:tcW w:w="1118" w:type="dxa"/>
          </w:tcPr>
          <w:p w14:paraId="377B0A9E" w14:textId="4AA916B8"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2026</w:t>
            </w:r>
          </w:p>
        </w:tc>
        <w:tc>
          <w:tcPr>
            <w:tcW w:w="1533" w:type="dxa"/>
          </w:tcPr>
          <w:p w14:paraId="13C5B40F" w14:textId="6765C902"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Forecast</w:t>
            </w:r>
          </w:p>
        </w:tc>
        <w:tc>
          <w:tcPr>
            <w:tcW w:w="1708" w:type="dxa"/>
          </w:tcPr>
          <w:p w14:paraId="2C59964F" w14:textId="21E89C7C"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$6,166,513</w:t>
            </w:r>
          </w:p>
        </w:tc>
        <w:tc>
          <w:tcPr>
            <w:tcW w:w="1707" w:type="dxa"/>
          </w:tcPr>
          <w:p w14:paraId="57350A12" w14:textId="4056F0F0"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52,169</w:t>
            </w:r>
          </w:p>
        </w:tc>
        <w:tc>
          <w:tcPr>
            <w:tcW w:w="2278" w:type="dxa"/>
          </w:tcPr>
          <w:p w14:paraId="7E53CDF2" w14:textId="546B9961"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$118.20</w:t>
            </w:r>
          </w:p>
        </w:tc>
      </w:tr>
      <w:tr w:rsidR="006F4D4C" w:rsidRPr="00753FE5" w14:paraId="6F26F68C" w14:textId="77777777" w:rsidTr="0091402F">
        <w:trPr>
          <w:trHeight w:val="355"/>
          <w:jc w:val="center"/>
        </w:trPr>
        <w:tc>
          <w:tcPr>
            <w:tcW w:w="1118" w:type="dxa"/>
          </w:tcPr>
          <w:p w14:paraId="3C933B2A" w14:textId="53D9613E"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2027</w:t>
            </w:r>
          </w:p>
        </w:tc>
        <w:tc>
          <w:tcPr>
            <w:tcW w:w="1533" w:type="dxa"/>
          </w:tcPr>
          <w:p w14:paraId="6EAB9F26" w14:textId="46DD366E"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Forecast</w:t>
            </w:r>
          </w:p>
        </w:tc>
        <w:tc>
          <w:tcPr>
            <w:tcW w:w="1708" w:type="dxa"/>
          </w:tcPr>
          <w:p w14:paraId="7CE6BA75" w14:textId="73C7FD49"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$7,082,589</w:t>
            </w:r>
          </w:p>
        </w:tc>
        <w:tc>
          <w:tcPr>
            <w:tcW w:w="1707" w:type="dxa"/>
          </w:tcPr>
          <w:p w14:paraId="55D22DEF" w14:textId="6265FABB"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58,438</w:t>
            </w:r>
          </w:p>
        </w:tc>
        <w:tc>
          <w:tcPr>
            <w:tcW w:w="2278" w:type="dxa"/>
          </w:tcPr>
          <w:p w14:paraId="4F5900DE" w14:textId="3EE80FAE"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$121.20</w:t>
            </w:r>
          </w:p>
        </w:tc>
      </w:tr>
      <w:tr w:rsidR="006F4D4C" w:rsidRPr="00753FE5" w14:paraId="07834D38" w14:textId="77777777" w:rsidTr="0091402F">
        <w:trPr>
          <w:trHeight w:val="355"/>
          <w:jc w:val="center"/>
        </w:trPr>
        <w:tc>
          <w:tcPr>
            <w:tcW w:w="1118" w:type="dxa"/>
          </w:tcPr>
          <w:p w14:paraId="0EC55F1A" w14:textId="55745D8A"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2028</w:t>
            </w:r>
          </w:p>
        </w:tc>
        <w:tc>
          <w:tcPr>
            <w:tcW w:w="1533" w:type="dxa"/>
          </w:tcPr>
          <w:p w14:paraId="6E308475" w14:textId="2F7DF899"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Forecast</w:t>
            </w:r>
          </w:p>
        </w:tc>
        <w:tc>
          <w:tcPr>
            <w:tcW w:w="1708" w:type="dxa"/>
          </w:tcPr>
          <w:p w14:paraId="2B14AD13" w14:textId="5A4CDB38"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$7,998,665</w:t>
            </w:r>
          </w:p>
        </w:tc>
        <w:tc>
          <w:tcPr>
            <w:tcW w:w="1707" w:type="dxa"/>
          </w:tcPr>
          <w:p w14:paraId="58482028" w14:textId="7D50C613"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64,709</w:t>
            </w:r>
          </w:p>
        </w:tc>
        <w:tc>
          <w:tcPr>
            <w:tcW w:w="2278" w:type="dxa"/>
          </w:tcPr>
          <w:p w14:paraId="57ED13C9" w14:textId="67AE6033" w:rsidR="00716E2A" w:rsidRPr="00753FE5" w:rsidRDefault="00716E2A" w:rsidP="00716E2A">
            <w:pPr>
              <w:rPr>
                <w:rFonts w:ascii="Arial" w:hAnsi="Arial" w:cs="Arial"/>
                <w:sz w:val="20"/>
                <w:szCs w:val="20"/>
              </w:rPr>
            </w:pPr>
            <w:r w:rsidRPr="00753FE5">
              <w:rPr>
                <w:rFonts w:ascii="Arial" w:hAnsi="Arial" w:cs="Arial"/>
                <w:color w:val="000000" w:themeColor="text1"/>
                <w:sz w:val="20"/>
                <w:szCs w:val="20"/>
              </w:rPr>
              <w:t>$123.61</w:t>
            </w:r>
          </w:p>
        </w:tc>
      </w:tr>
    </w:tbl>
    <w:p w14:paraId="50036087" w14:textId="77777777" w:rsidR="0091402F" w:rsidRPr="006F4D4C" w:rsidRDefault="0091402F" w:rsidP="0091402F">
      <w:pPr>
        <w:spacing w:after="60" w:line="240" w:lineRule="auto"/>
        <w:rPr>
          <w:rFonts w:ascii="Arial" w:hAnsi="Arial" w:cs="Arial"/>
          <w:color w:val="000000" w:themeColor="text1"/>
          <w:sz w:val="22"/>
          <w:szCs w:val="22"/>
        </w:rPr>
      </w:pPr>
    </w:p>
    <w:p w14:paraId="77182B1F" w14:textId="4739B72D" w:rsidR="0091402F" w:rsidRPr="006F4D4C" w:rsidRDefault="0091402F" w:rsidP="0091402F">
      <w:pPr>
        <w:spacing w:after="60" w:line="240" w:lineRule="auto"/>
        <w:rPr>
          <w:rFonts w:ascii="Arial" w:hAnsi="Arial" w:cs="Arial"/>
          <w:color w:val="000000" w:themeColor="text1"/>
          <w:sz w:val="22"/>
          <w:szCs w:val="22"/>
        </w:rPr>
      </w:pPr>
      <w:r w:rsidRPr="006F4D4C">
        <w:rPr>
          <w:rFonts w:ascii="Arial" w:hAnsi="Arial" w:cs="Arial"/>
          <w:color w:val="000000" w:themeColor="text1"/>
          <w:sz w:val="22"/>
          <w:szCs w:val="22"/>
        </w:rPr>
        <w:t xml:space="preserve">Forecast AOV is derived as forecasted net sales divided by forecasted orders. It is not the same measure as the dashboard’s customer-average AOV </w:t>
      </w:r>
      <w:r w:rsidR="00E411A8" w:rsidRPr="006F4D4C">
        <w:rPr>
          <w:rFonts w:ascii="Arial" w:hAnsi="Arial" w:cs="Arial"/>
          <w:color w:val="000000" w:themeColor="text1"/>
          <w:sz w:val="22"/>
          <w:szCs w:val="22"/>
        </w:rPr>
        <w:t>forecast. The</w:t>
      </w:r>
      <w:r w:rsidRPr="006F4D4C">
        <w:rPr>
          <w:rFonts w:ascii="Arial" w:hAnsi="Arial" w:cs="Arial"/>
          <w:color w:val="000000" w:themeColor="text1"/>
          <w:sz w:val="22"/>
          <w:szCs w:val="22"/>
        </w:rPr>
        <w:t xml:space="preserve"> forecast increases from $6,166,513 in 2026 to $7,998,665 in 2028, a 14.9% annualized rate from the 2025 baseline. It should be monitored monthly against actual results because no forecast error measures are provided</w:t>
      </w:r>
      <w:r w:rsidRPr="006F4D4C">
        <w:rPr>
          <w:rFonts w:ascii="Arial" w:hAnsi="Arial" w:cs="Arial"/>
          <w:color w:val="000000" w:themeColor="text1"/>
          <w:sz w:val="22"/>
          <w:szCs w:val="22"/>
        </w:rPr>
        <w:t>.</w:t>
      </w:r>
    </w:p>
    <w:p w14:paraId="0567CB7B" w14:textId="240FC6A2" w:rsidR="0091402F" w:rsidRPr="006F4D4C" w:rsidRDefault="0091402F" w:rsidP="001C3067">
      <w:pPr>
        <w:pStyle w:val="Heading2"/>
      </w:pPr>
      <w:bookmarkStart w:id="20" w:name="_Toc236853432"/>
      <w:r w:rsidRPr="006F4D4C">
        <w:lastRenderedPageBreak/>
        <w:t xml:space="preserve">Customer </w:t>
      </w:r>
      <w:r w:rsidR="00E411A8" w:rsidRPr="006F4D4C">
        <w:t>Behavior</w:t>
      </w:r>
      <w:r w:rsidRPr="006F4D4C">
        <w:t xml:space="preserve"> and Revenue Concentration</w:t>
      </w:r>
      <w:bookmarkEnd w:id="20"/>
    </w:p>
    <w:p w14:paraId="79F5EF64" w14:textId="77777777" w:rsidR="0091402F" w:rsidRPr="006F4D4C" w:rsidRDefault="0091402F" w:rsidP="0091402F">
      <w:pPr>
        <w:rPr>
          <w:rFonts w:ascii="Arial" w:hAnsi="Arial" w:cs="Arial"/>
          <w:color w:val="000000" w:themeColor="text1"/>
          <w:sz w:val="22"/>
          <w:szCs w:val="22"/>
        </w:rPr>
      </w:pPr>
      <w:r w:rsidRPr="006F4D4C">
        <w:rPr>
          <w:rFonts w:ascii="Arial" w:hAnsi="Arial" w:cs="Arial"/>
          <w:color w:val="000000" w:themeColor="text1"/>
          <w:sz w:val="22"/>
          <w:szCs w:val="22"/>
        </w:rPr>
        <w:t>The analysis identified 12,902 repeat customers, or 57.2% of identifiable customers. They generated 95.9% of completed net sales, and 16.9% of customers generated 80% of sales, showing both strong retention value and concentration risk.</w:t>
      </w:r>
    </w:p>
    <w:p w14:paraId="16E25F1E" w14:textId="2117132C" w:rsidR="0091402F" w:rsidRPr="006F4D4C" w:rsidRDefault="0091402F" w:rsidP="0091402F">
      <w:pPr>
        <w:spacing w:after="60" w:line="240" w:lineRule="auto"/>
        <w:rPr>
          <w:rFonts w:ascii="Arial" w:hAnsi="Arial" w:cs="Arial"/>
          <w:color w:val="000000" w:themeColor="text1"/>
          <w:sz w:val="22"/>
          <w:szCs w:val="22"/>
        </w:rPr>
      </w:pPr>
      <w:r w:rsidRPr="006F4D4C">
        <w:rPr>
          <w:rFonts w:ascii="Arial" w:hAnsi="Arial" w:cs="Arial"/>
          <w:noProof/>
          <w:color w:val="000000" w:themeColor="text1"/>
          <w:sz w:val="22"/>
          <w:szCs w:val="22"/>
        </w:rPr>
        <w:drawing>
          <wp:inline distT="0" distB="0" distL="0" distR="0" wp14:anchorId="0D473D7A" wp14:editId="010E3788">
            <wp:extent cx="5806440" cy="3262409"/>
            <wp:effectExtent l="0" t="0" r="0" b="0"/>
            <wp:docPr id="3" name="Picture 3" descr="Dashboard with incremental revenue opportunity scenarios and donut chart comparing average net sales for returning and new customers." title="Customer Opportunity and Net Sales by Custome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ustomer_dashboard.png"/>
                    <pic:cNvPicPr/>
                  </pic:nvPicPr>
                  <pic:blipFill>
                    <a:blip r:embed="rId10"/>
                    <a:stretch>
                      <a:fillRect/>
                    </a:stretch>
                  </pic:blipFill>
                  <pic:spPr>
                    <a:xfrm>
                      <a:off x="0" y="0"/>
                      <a:ext cx="5806440" cy="3262409"/>
                    </a:xfrm>
                    <a:prstGeom prst="rect">
                      <a:avLst/>
                    </a:prstGeom>
                  </pic:spPr>
                </pic:pic>
              </a:graphicData>
            </a:graphic>
          </wp:inline>
        </w:drawing>
      </w:r>
    </w:p>
    <w:p w14:paraId="1A6A40D8" w14:textId="77777777" w:rsidR="0091402F" w:rsidRPr="006F4D4C" w:rsidRDefault="0091402F" w:rsidP="001C3067">
      <w:pPr>
        <w:pStyle w:val="Heading3"/>
      </w:pPr>
      <w:bookmarkStart w:id="21" w:name="_Toc236853433"/>
      <w:r w:rsidRPr="006F4D4C">
        <w:rPr>
          <w:b/>
        </w:rPr>
        <w:t>Figure 3</w:t>
      </w:r>
      <w:r w:rsidRPr="006F4D4C">
        <w:t>: Customer Opportunity and Net Sales by Customer Type</w:t>
      </w:r>
      <w:bookmarkEnd w:id="21"/>
    </w:p>
    <w:p w14:paraId="6EABCCB8" w14:textId="4F4C5567" w:rsidR="0091402F" w:rsidRPr="006F4D4C" w:rsidRDefault="0091402F" w:rsidP="0091402F">
      <w:pPr>
        <w:rPr>
          <w:rFonts w:ascii="Arial" w:hAnsi="Arial" w:cs="Arial"/>
          <w:color w:val="000000" w:themeColor="text1"/>
          <w:sz w:val="22"/>
          <w:szCs w:val="22"/>
        </w:rPr>
      </w:pPr>
      <w:r w:rsidRPr="006F4D4C">
        <w:rPr>
          <w:rFonts w:ascii="Arial" w:hAnsi="Arial" w:cs="Arial"/>
          <w:color w:val="000000" w:themeColor="text1"/>
          <w:sz w:val="22"/>
          <w:szCs w:val="22"/>
        </w:rPr>
        <w:t>Returning</w:t>
      </w:r>
      <w:r w:rsidR="00856F00" w:rsidRPr="006F4D4C">
        <w:rPr>
          <w:rFonts w:ascii="Arial" w:hAnsi="Arial" w:cs="Arial"/>
          <w:color w:val="000000" w:themeColor="text1"/>
          <w:sz w:val="22"/>
          <w:szCs w:val="22"/>
        </w:rPr>
        <w:t xml:space="preserve"> c</w:t>
      </w:r>
      <w:r w:rsidRPr="006F4D4C">
        <w:rPr>
          <w:rFonts w:ascii="Arial" w:hAnsi="Arial" w:cs="Arial"/>
          <w:color w:val="000000" w:themeColor="text1"/>
          <w:sz w:val="22"/>
          <w:szCs w:val="22"/>
        </w:rPr>
        <w:t>ustomer orders average $112.96, versus $75.50 for new customers, a 49.6% difference. New customers therefore need simple second-purchase support, while returning customers are better suited to bundles, complementary products, loyalty benefits, and premium cross-sell.</w:t>
      </w:r>
    </w:p>
    <w:p w14:paraId="06D530A0" w14:textId="08CACBB5" w:rsidR="0091402F" w:rsidRPr="006F4D4C" w:rsidRDefault="0091402F" w:rsidP="001C3067">
      <w:pPr>
        <w:pStyle w:val="Heading3"/>
      </w:pPr>
      <w:bookmarkStart w:id="22" w:name="_Toc236853434"/>
      <w:r w:rsidRPr="006F4D4C">
        <w:t>Hypothesis for Controlled Testing</w:t>
      </w:r>
      <w:bookmarkEnd w:id="22"/>
    </w:p>
    <w:tbl>
      <w:tblPr>
        <w:tblStyle w:val="TableGrid"/>
        <w:tblW w:w="10116" w:type="dxa"/>
        <w:tblLook w:val="04A0" w:firstRow="1" w:lastRow="0" w:firstColumn="1" w:lastColumn="0" w:noHBand="0" w:noVBand="1"/>
      </w:tblPr>
      <w:tblGrid>
        <w:gridCol w:w="1696"/>
        <w:gridCol w:w="2410"/>
        <w:gridCol w:w="3402"/>
        <w:gridCol w:w="2608"/>
      </w:tblGrid>
      <w:tr w:rsidR="0091402F" w:rsidRPr="00753FE5" w14:paraId="1DB267B4" w14:textId="77777777" w:rsidTr="00E411A8">
        <w:trPr>
          <w:trHeight w:val="448"/>
        </w:trPr>
        <w:tc>
          <w:tcPr>
            <w:tcW w:w="1696" w:type="dxa"/>
            <w:vAlign w:val="center"/>
          </w:tcPr>
          <w:p w14:paraId="13E84192" w14:textId="6E113D9E" w:rsidR="0091402F" w:rsidRPr="00753FE5" w:rsidRDefault="0091402F" w:rsidP="0091402F">
            <w:pPr>
              <w:rPr>
                <w:rFonts w:ascii="Arial" w:hAnsi="Arial" w:cs="Arial"/>
                <w:color w:val="000000" w:themeColor="text1"/>
                <w:sz w:val="20"/>
                <w:szCs w:val="20"/>
              </w:rPr>
            </w:pPr>
            <w:r w:rsidRPr="00753FE5">
              <w:rPr>
                <w:rFonts w:ascii="Arial" w:hAnsi="Arial" w:cs="Arial"/>
                <w:b/>
                <w:color w:val="000000" w:themeColor="text1"/>
                <w:sz w:val="20"/>
                <w:szCs w:val="20"/>
              </w:rPr>
              <w:t>Customer priority</w:t>
            </w:r>
          </w:p>
        </w:tc>
        <w:tc>
          <w:tcPr>
            <w:tcW w:w="2410" w:type="dxa"/>
            <w:vAlign w:val="center"/>
          </w:tcPr>
          <w:p w14:paraId="57911610" w14:textId="313A70E0" w:rsidR="0091402F" w:rsidRPr="00753FE5" w:rsidRDefault="0091402F" w:rsidP="0091402F">
            <w:pPr>
              <w:rPr>
                <w:rFonts w:ascii="Arial" w:hAnsi="Arial" w:cs="Arial"/>
                <w:color w:val="000000" w:themeColor="text1"/>
                <w:sz w:val="20"/>
                <w:szCs w:val="20"/>
              </w:rPr>
            </w:pPr>
            <w:r w:rsidRPr="00753FE5">
              <w:rPr>
                <w:rFonts w:ascii="Arial" w:hAnsi="Arial" w:cs="Arial"/>
                <w:b/>
                <w:color w:val="000000" w:themeColor="text1"/>
                <w:sz w:val="20"/>
                <w:szCs w:val="20"/>
              </w:rPr>
              <w:t>Evidence</w:t>
            </w:r>
          </w:p>
        </w:tc>
        <w:tc>
          <w:tcPr>
            <w:tcW w:w="3402" w:type="dxa"/>
            <w:vAlign w:val="center"/>
          </w:tcPr>
          <w:p w14:paraId="7A23398B" w14:textId="094E5625" w:rsidR="0091402F" w:rsidRPr="00753FE5" w:rsidRDefault="0091402F" w:rsidP="0091402F">
            <w:pPr>
              <w:rPr>
                <w:rFonts w:ascii="Arial" w:hAnsi="Arial" w:cs="Arial"/>
                <w:color w:val="000000" w:themeColor="text1"/>
                <w:sz w:val="20"/>
                <w:szCs w:val="20"/>
              </w:rPr>
            </w:pPr>
            <w:r w:rsidRPr="00753FE5">
              <w:rPr>
                <w:rFonts w:ascii="Arial" w:hAnsi="Arial" w:cs="Arial"/>
                <w:b/>
                <w:color w:val="000000" w:themeColor="text1"/>
                <w:sz w:val="20"/>
                <w:szCs w:val="20"/>
              </w:rPr>
              <w:t>Recommended treatment</w:t>
            </w:r>
          </w:p>
        </w:tc>
        <w:tc>
          <w:tcPr>
            <w:tcW w:w="2608" w:type="dxa"/>
            <w:vAlign w:val="center"/>
          </w:tcPr>
          <w:p w14:paraId="2A5E2859" w14:textId="0F1348D0" w:rsidR="0091402F" w:rsidRPr="00753FE5" w:rsidRDefault="0091402F" w:rsidP="0091402F">
            <w:pPr>
              <w:rPr>
                <w:rFonts w:ascii="Arial" w:hAnsi="Arial" w:cs="Arial"/>
                <w:color w:val="000000" w:themeColor="text1"/>
                <w:sz w:val="20"/>
                <w:szCs w:val="20"/>
              </w:rPr>
            </w:pPr>
            <w:r w:rsidRPr="00753FE5">
              <w:rPr>
                <w:rFonts w:ascii="Arial" w:hAnsi="Arial" w:cs="Arial"/>
                <w:b/>
                <w:color w:val="000000" w:themeColor="text1"/>
                <w:sz w:val="20"/>
                <w:szCs w:val="20"/>
              </w:rPr>
              <w:t>Primary KPI</w:t>
            </w:r>
          </w:p>
        </w:tc>
      </w:tr>
      <w:tr w:rsidR="0091402F" w:rsidRPr="00753FE5" w14:paraId="3CB06C26" w14:textId="77777777" w:rsidTr="00E411A8">
        <w:trPr>
          <w:trHeight w:val="636"/>
        </w:trPr>
        <w:tc>
          <w:tcPr>
            <w:tcW w:w="1696" w:type="dxa"/>
          </w:tcPr>
          <w:p w14:paraId="33C386D0" w14:textId="2675D5C7"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Champions / loyal</w:t>
            </w:r>
          </w:p>
        </w:tc>
        <w:tc>
          <w:tcPr>
            <w:tcW w:w="2410" w:type="dxa"/>
          </w:tcPr>
          <w:p w14:paraId="7E00A101" w14:textId="061AE6F0" w:rsidR="00E411A8" w:rsidRPr="00753FE5" w:rsidRDefault="0091402F" w:rsidP="00E411A8">
            <w:pPr>
              <w:rPr>
                <w:rFonts w:ascii="Arial" w:hAnsi="Arial" w:cs="Arial"/>
                <w:color w:val="000000" w:themeColor="text1"/>
                <w:sz w:val="20"/>
                <w:szCs w:val="20"/>
              </w:rPr>
            </w:pPr>
            <w:r w:rsidRPr="00753FE5">
              <w:rPr>
                <w:rFonts w:ascii="Arial" w:hAnsi="Arial" w:cs="Arial"/>
                <w:color w:val="000000" w:themeColor="text1"/>
                <w:sz w:val="20"/>
                <w:szCs w:val="20"/>
              </w:rPr>
              <w:t>75.1% of completed net sales from champion segment</w:t>
            </w:r>
          </w:p>
        </w:tc>
        <w:tc>
          <w:tcPr>
            <w:tcW w:w="3402" w:type="dxa"/>
          </w:tcPr>
          <w:p w14:paraId="6A52E203" w14:textId="1D4B859C"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Protect with early access, replenishment reminders, and service benefits</w:t>
            </w:r>
          </w:p>
        </w:tc>
        <w:tc>
          <w:tcPr>
            <w:tcW w:w="2608" w:type="dxa"/>
          </w:tcPr>
          <w:p w14:paraId="7194968C" w14:textId="71DD0443"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Retention rate and contribution margin</w:t>
            </w:r>
          </w:p>
        </w:tc>
      </w:tr>
      <w:tr w:rsidR="0091402F" w:rsidRPr="00753FE5" w14:paraId="29FEAB0C" w14:textId="77777777" w:rsidTr="00E411A8">
        <w:trPr>
          <w:trHeight w:val="560"/>
        </w:trPr>
        <w:tc>
          <w:tcPr>
            <w:tcW w:w="1696" w:type="dxa"/>
          </w:tcPr>
          <w:p w14:paraId="78C6650E" w14:textId="1197050B"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New / one-time</w:t>
            </w:r>
          </w:p>
        </w:tc>
        <w:tc>
          <w:tcPr>
            <w:tcW w:w="2410" w:type="dxa"/>
          </w:tcPr>
          <w:p w14:paraId="67AC3AA0" w14:textId="36020839"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New-order AOV $75.50</w:t>
            </w:r>
          </w:p>
        </w:tc>
        <w:tc>
          <w:tcPr>
            <w:tcW w:w="3402" w:type="dxa"/>
          </w:tcPr>
          <w:p w14:paraId="3664FA27" w14:textId="7551860A"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Trigger relevant second-purchase messages after the first order</w:t>
            </w:r>
          </w:p>
        </w:tc>
        <w:tc>
          <w:tcPr>
            <w:tcW w:w="2608" w:type="dxa"/>
          </w:tcPr>
          <w:p w14:paraId="4BA3F179" w14:textId="46F98117"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First-to-second purchase conversion</w:t>
            </w:r>
          </w:p>
        </w:tc>
      </w:tr>
      <w:tr w:rsidR="0091402F" w:rsidRPr="00753FE5" w14:paraId="2E0489CA" w14:textId="77777777" w:rsidTr="00E411A8">
        <w:trPr>
          <w:trHeight w:val="568"/>
        </w:trPr>
        <w:tc>
          <w:tcPr>
            <w:tcW w:w="1696" w:type="dxa"/>
          </w:tcPr>
          <w:p w14:paraId="54EB0744" w14:textId="69A930FD"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Frequent low AOV</w:t>
            </w:r>
          </w:p>
        </w:tc>
        <w:tc>
          <w:tcPr>
            <w:tcW w:w="2410" w:type="dxa"/>
          </w:tcPr>
          <w:p w14:paraId="46EC4CFB" w14:textId="0702431C"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Repeated activity but lower basket value</w:t>
            </w:r>
          </w:p>
        </w:tc>
        <w:tc>
          <w:tcPr>
            <w:tcW w:w="3402" w:type="dxa"/>
          </w:tcPr>
          <w:p w14:paraId="7FE46979" w14:textId="53901BB4"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Test bundles and minimum-spend thresholds</w:t>
            </w:r>
          </w:p>
        </w:tc>
        <w:tc>
          <w:tcPr>
            <w:tcW w:w="2608" w:type="dxa"/>
          </w:tcPr>
          <w:p w14:paraId="4BC97AF8" w14:textId="6CDA27D8"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AOV lift and units per order</w:t>
            </w:r>
          </w:p>
        </w:tc>
      </w:tr>
      <w:tr w:rsidR="0091402F" w:rsidRPr="00753FE5" w14:paraId="0D17A98B" w14:textId="77777777" w:rsidTr="00E411A8">
        <w:trPr>
          <w:trHeight w:val="548"/>
        </w:trPr>
        <w:tc>
          <w:tcPr>
            <w:tcW w:w="1696" w:type="dxa"/>
          </w:tcPr>
          <w:p w14:paraId="49DD6E14" w14:textId="1AC94A61"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Coupon driven</w:t>
            </w:r>
          </w:p>
        </w:tc>
        <w:tc>
          <w:tcPr>
            <w:tcW w:w="2410" w:type="dxa"/>
          </w:tcPr>
          <w:p w14:paraId="535FCB74" w14:textId="7CD538D3"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Overall coupon order rate 13.0%</w:t>
            </w:r>
          </w:p>
        </w:tc>
        <w:tc>
          <w:tcPr>
            <w:tcW w:w="3402" w:type="dxa"/>
          </w:tcPr>
          <w:p w14:paraId="74D9FDA1" w14:textId="5A839BC9"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Reduce blanket discounts; test value-added incentives</w:t>
            </w:r>
          </w:p>
        </w:tc>
        <w:tc>
          <w:tcPr>
            <w:tcW w:w="2608" w:type="dxa"/>
          </w:tcPr>
          <w:p w14:paraId="2F3301F2" w14:textId="0837772B" w:rsidR="0091402F" w:rsidRPr="00753FE5" w:rsidRDefault="0091402F" w:rsidP="0091402F">
            <w:pPr>
              <w:rPr>
                <w:rFonts w:ascii="Arial" w:hAnsi="Arial" w:cs="Arial"/>
                <w:color w:val="000000" w:themeColor="text1"/>
                <w:sz w:val="20"/>
                <w:szCs w:val="20"/>
              </w:rPr>
            </w:pPr>
            <w:r w:rsidRPr="00753FE5">
              <w:rPr>
                <w:rFonts w:ascii="Arial" w:hAnsi="Arial" w:cs="Arial"/>
                <w:color w:val="000000" w:themeColor="text1"/>
                <w:sz w:val="20"/>
                <w:szCs w:val="20"/>
              </w:rPr>
              <w:t>Incremental margin and redemption quality</w:t>
            </w:r>
          </w:p>
        </w:tc>
      </w:tr>
    </w:tbl>
    <w:p w14:paraId="56244078" w14:textId="77777777" w:rsidR="00E411A8" w:rsidRPr="006F4D4C" w:rsidRDefault="00E411A8" w:rsidP="001C3067">
      <w:pPr>
        <w:pStyle w:val="Heading2"/>
      </w:pPr>
      <w:bookmarkStart w:id="23" w:name="_Toc236853435"/>
      <w:r w:rsidRPr="006F4D4C">
        <w:lastRenderedPageBreak/>
        <w:t>Regional AOV Growth Priorities</w:t>
      </w:r>
      <w:bookmarkEnd w:id="23"/>
    </w:p>
    <w:p w14:paraId="47CA1A14" w14:textId="43AA6D6B" w:rsidR="00E411A8" w:rsidRPr="006F4D4C" w:rsidRDefault="00E411A8" w:rsidP="00E411A8">
      <w:pPr>
        <w:rPr>
          <w:rFonts w:ascii="Arial" w:hAnsi="Arial" w:cs="Arial"/>
          <w:color w:val="000000" w:themeColor="text1"/>
          <w:sz w:val="22"/>
          <w:szCs w:val="22"/>
        </w:rPr>
      </w:pPr>
      <w:r w:rsidRPr="006F4D4C">
        <w:rPr>
          <w:rFonts w:ascii="Arial" w:hAnsi="Arial" w:cs="Arial"/>
          <w:color w:val="000000" w:themeColor="text1"/>
          <w:sz w:val="22"/>
          <w:szCs w:val="22"/>
        </w:rPr>
        <w:t xml:space="preserve">The regional dashboard ranks Ontario and Quebec for scale because of their reach and composite priority scores. Nova Scotia and British Columbia are </w:t>
      </w:r>
      <w:r w:rsidR="00856F00" w:rsidRPr="006F4D4C">
        <w:rPr>
          <w:rFonts w:ascii="Arial" w:hAnsi="Arial" w:cs="Arial"/>
          <w:color w:val="000000" w:themeColor="text1"/>
          <w:sz w:val="22"/>
          <w:szCs w:val="22"/>
        </w:rPr>
        <w:t>pilot,</w:t>
      </w:r>
      <w:r w:rsidRPr="006F4D4C">
        <w:rPr>
          <w:rFonts w:ascii="Arial" w:hAnsi="Arial" w:cs="Arial"/>
          <w:color w:val="000000" w:themeColor="text1"/>
          <w:sz w:val="22"/>
          <w:szCs w:val="22"/>
        </w:rPr>
        <w:t xml:space="preserve"> or expansion markets, Alberta and New Brunswick are selective opportunities, and smaller high</w:t>
      </w:r>
      <w:r w:rsidR="00856F00"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AOV regions should be monitored until volume supports firm conclusions.</w:t>
      </w:r>
    </w:p>
    <w:p w14:paraId="248324B7" w14:textId="00EE6EF5" w:rsidR="00E411A8" w:rsidRPr="006F4D4C" w:rsidRDefault="00E411A8" w:rsidP="0091402F">
      <w:pPr>
        <w:rPr>
          <w:rFonts w:ascii="Arial" w:hAnsi="Arial" w:cs="Arial"/>
          <w:color w:val="000000" w:themeColor="text1"/>
          <w:sz w:val="22"/>
          <w:szCs w:val="22"/>
        </w:rPr>
      </w:pPr>
      <w:r w:rsidRPr="006F4D4C">
        <w:rPr>
          <w:rFonts w:ascii="Arial" w:hAnsi="Arial" w:cs="Arial"/>
          <w:noProof/>
          <w:color w:val="000000" w:themeColor="text1"/>
          <w:sz w:val="22"/>
          <w:szCs w:val="22"/>
        </w:rPr>
        <w:drawing>
          <wp:inline distT="0" distB="0" distL="0" distR="0" wp14:anchorId="56236E57" wp14:editId="284CE86F">
            <wp:extent cx="5806440" cy="3218900"/>
            <wp:effectExtent l="0" t="0" r="0" b="0"/>
            <wp:docPr id="4" name="Picture 4" descr="Regional dashboard showing priority scores for Ontario, Quebec, Nova Scotia, British Columbia, Alberta, and New Brunswick, plus reach, AOV, and addressable gap visuals." title="Regional AOV-Growth Priorit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priority_dashboard.png"/>
                    <pic:cNvPicPr/>
                  </pic:nvPicPr>
                  <pic:blipFill>
                    <a:blip r:embed="rId11"/>
                    <a:stretch>
                      <a:fillRect/>
                    </a:stretch>
                  </pic:blipFill>
                  <pic:spPr>
                    <a:xfrm>
                      <a:off x="0" y="0"/>
                      <a:ext cx="5806440" cy="3218900"/>
                    </a:xfrm>
                    <a:prstGeom prst="rect">
                      <a:avLst/>
                    </a:prstGeom>
                  </pic:spPr>
                </pic:pic>
              </a:graphicData>
            </a:graphic>
          </wp:inline>
        </w:drawing>
      </w:r>
    </w:p>
    <w:p w14:paraId="52DDAFC7" w14:textId="77777777" w:rsidR="00E411A8" w:rsidRPr="006F4D4C" w:rsidRDefault="00E411A8" w:rsidP="001C3067">
      <w:pPr>
        <w:pStyle w:val="Heading3"/>
      </w:pPr>
      <w:bookmarkStart w:id="24" w:name="_Toc236853436"/>
      <w:r w:rsidRPr="006F4D4C">
        <w:rPr>
          <w:b/>
        </w:rPr>
        <w:t>Figure 4</w:t>
      </w:r>
      <w:r w:rsidRPr="006F4D4C">
        <w:t>: Regional AOV-Growth Priority Dashboard</w:t>
      </w:r>
      <w:bookmarkEnd w:id="24"/>
    </w:p>
    <w:p w14:paraId="08AC7F55" w14:textId="2F6A3D15" w:rsidR="00E411A8" w:rsidRPr="006F4D4C" w:rsidRDefault="00E411A8" w:rsidP="00E411A8">
      <w:pPr>
        <w:rPr>
          <w:rFonts w:ascii="Arial" w:hAnsi="Arial" w:cs="Arial"/>
          <w:color w:val="000000" w:themeColor="text1"/>
          <w:sz w:val="22"/>
          <w:szCs w:val="22"/>
        </w:rPr>
      </w:pPr>
      <w:r w:rsidRPr="006F4D4C">
        <w:rPr>
          <w:rFonts w:ascii="Arial" w:hAnsi="Arial" w:cs="Arial"/>
          <w:color w:val="000000" w:themeColor="text1"/>
          <w:sz w:val="22"/>
          <w:szCs w:val="22"/>
        </w:rPr>
        <w:t>The dashboard combines a priority score, reach-versus-difficulty bubble chart, addressable next-order gap, customer mix, and below</w:t>
      </w:r>
      <w:r w:rsidR="00856F00"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target regional counts.</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The earlier Data Preparation and Ethics analysis ranked Nova Scotia highest on the historical equivalent gap to the $120 weighted AOV target because it was only slightly below target but had high order volume. The later dashboard ranks Ontario and Quebec highest after combining reach, AOV, and implementation difficulty</w:t>
      </w:r>
      <w:r w:rsidR="00856F00" w:rsidRPr="006F4D4C">
        <w:rPr>
          <w:rFonts w:ascii="Arial" w:hAnsi="Arial" w:cs="Arial"/>
          <w:color w:val="000000" w:themeColor="text1"/>
          <w:sz w:val="22"/>
          <w:szCs w:val="22"/>
        </w:rPr>
        <w:t xml:space="preserve"> which make </w:t>
      </w:r>
      <w:r w:rsidRPr="006F4D4C">
        <w:rPr>
          <w:rFonts w:ascii="Arial" w:hAnsi="Arial" w:cs="Arial"/>
          <w:color w:val="000000" w:themeColor="text1"/>
          <w:sz w:val="22"/>
          <w:szCs w:val="22"/>
        </w:rPr>
        <w:t>the methods answer different questions.</w:t>
      </w:r>
    </w:p>
    <w:p w14:paraId="5C9D9E4B" w14:textId="77777777" w:rsidR="00E411A8" w:rsidRPr="006F4D4C" w:rsidRDefault="00E411A8" w:rsidP="00E411A8">
      <w:pPr>
        <w:rPr>
          <w:rFonts w:ascii="Arial" w:hAnsi="Arial" w:cs="Arial"/>
          <w:color w:val="000000" w:themeColor="text1"/>
          <w:sz w:val="22"/>
          <w:szCs w:val="22"/>
        </w:rPr>
      </w:pPr>
      <w:r w:rsidRPr="006F4D4C">
        <w:rPr>
          <w:rFonts w:ascii="Arial" w:hAnsi="Arial" w:cs="Arial"/>
          <w:color w:val="000000" w:themeColor="text1"/>
          <w:sz w:val="22"/>
          <w:szCs w:val="22"/>
        </w:rPr>
        <w:t>A two-stage approach reconciles the findings: test bundles, thresholds, and messages in Nova Scotia and British Columbia, then scale successful tactics in Ontario and Quebec.</w:t>
      </w:r>
    </w:p>
    <w:p w14:paraId="7A7E1AF9" w14:textId="62D83F8D" w:rsidR="00E411A8" w:rsidRPr="006F4D4C" w:rsidRDefault="00E411A8" w:rsidP="0091402F">
      <w:pPr>
        <w:rPr>
          <w:rFonts w:ascii="Arial" w:hAnsi="Arial" w:cs="Arial"/>
          <w:color w:val="000000" w:themeColor="text1"/>
          <w:sz w:val="22"/>
          <w:szCs w:val="22"/>
        </w:rPr>
      </w:pPr>
      <w:bookmarkStart w:id="25" w:name="_Toc236853437"/>
      <w:r w:rsidRPr="001C3067">
        <w:rPr>
          <w:rStyle w:val="Heading3Char"/>
        </w:rPr>
        <w:t>Regional decision rule:</w:t>
      </w:r>
      <w:bookmarkEnd w:id="25"/>
      <w:r w:rsidRPr="006F4D4C">
        <w:rPr>
          <w:rFonts w:ascii="Arial" w:hAnsi="Arial" w:cs="Arial"/>
          <w:b/>
          <w:color w:val="000000" w:themeColor="text1"/>
          <w:sz w:val="22"/>
          <w:szCs w:val="22"/>
        </w:rPr>
        <w:t xml:space="preserve"> </w:t>
      </w:r>
      <w:r w:rsidRPr="006F4D4C">
        <w:rPr>
          <w:rFonts w:ascii="Arial" w:hAnsi="Arial" w:cs="Arial"/>
          <w:color w:val="000000" w:themeColor="text1"/>
          <w:sz w:val="22"/>
          <w:szCs w:val="22"/>
        </w:rPr>
        <w:t xml:space="preserve">Pilot where learning is affordable; scale where reach is large; monitor where averages are </w:t>
      </w:r>
      <w:r w:rsidR="00856F00" w:rsidRPr="006F4D4C">
        <w:rPr>
          <w:rFonts w:ascii="Arial" w:hAnsi="Arial" w:cs="Arial"/>
          <w:color w:val="000000" w:themeColor="text1"/>
          <w:sz w:val="22"/>
          <w:szCs w:val="22"/>
        </w:rPr>
        <w:t>strong,</w:t>
      </w:r>
      <w:r w:rsidRPr="006F4D4C">
        <w:rPr>
          <w:rFonts w:ascii="Arial" w:hAnsi="Arial" w:cs="Arial"/>
          <w:color w:val="000000" w:themeColor="text1"/>
          <w:sz w:val="22"/>
          <w:szCs w:val="22"/>
        </w:rPr>
        <w:t xml:space="preserve"> but customer volume is small.</w:t>
      </w:r>
    </w:p>
    <w:p w14:paraId="4EEEB529" w14:textId="77777777" w:rsidR="00E411A8" w:rsidRPr="006F4D4C" w:rsidRDefault="00E411A8" w:rsidP="001C3067">
      <w:pPr>
        <w:pStyle w:val="Heading2"/>
      </w:pPr>
      <w:bookmarkStart w:id="26" w:name="_Toc236853438"/>
      <w:r w:rsidRPr="006F4D4C">
        <w:t>AOV Measurement and Target Interpretation</w:t>
      </w:r>
      <w:bookmarkEnd w:id="26"/>
    </w:p>
    <w:p w14:paraId="36A8D444" w14:textId="5BC5FB5F" w:rsidR="00E411A8" w:rsidRPr="006F4D4C" w:rsidRDefault="00E411A8" w:rsidP="00E411A8">
      <w:pPr>
        <w:rPr>
          <w:rFonts w:ascii="Arial" w:hAnsi="Arial" w:cs="Arial"/>
          <w:color w:val="000000" w:themeColor="text1"/>
          <w:sz w:val="22"/>
          <w:szCs w:val="22"/>
        </w:rPr>
      </w:pPr>
      <w:r w:rsidRPr="006F4D4C">
        <w:rPr>
          <w:rFonts w:ascii="Arial" w:hAnsi="Arial" w:cs="Arial"/>
          <w:color w:val="000000" w:themeColor="text1"/>
          <w:sz w:val="22"/>
          <w:szCs w:val="22"/>
        </w:rPr>
        <w:t>AOV is the main growth KPI, but valid values differ by grain: $101.84 on the executive dashboard, $102.59 from completed</w:t>
      </w:r>
      <w:r w:rsidR="002E1A50"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order Python validation, $101.62 on the regional dashboard, and $100.50 mean customer AOV with an $84.73 median. The lower median shows that high</w:t>
      </w:r>
      <w:r w:rsidR="00856F00"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value customers lift the average.</w:t>
      </w:r>
    </w:p>
    <w:p w14:paraId="73243413" w14:textId="6F6F477D" w:rsidR="00E411A8" w:rsidRPr="006F4D4C" w:rsidRDefault="00E411A8" w:rsidP="0091402F">
      <w:pPr>
        <w:rPr>
          <w:rFonts w:ascii="Arial" w:hAnsi="Arial" w:cs="Arial"/>
          <w:color w:val="000000" w:themeColor="text1"/>
          <w:sz w:val="22"/>
          <w:szCs w:val="22"/>
        </w:rPr>
      </w:pPr>
      <w:r w:rsidRPr="006F4D4C">
        <w:rPr>
          <w:rFonts w:ascii="Arial" w:hAnsi="Arial" w:cs="Arial"/>
          <w:noProof/>
          <w:color w:val="000000" w:themeColor="text1"/>
          <w:sz w:val="22"/>
          <w:szCs w:val="22"/>
        </w:rPr>
        <w:lastRenderedPageBreak/>
        <w:drawing>
          <wp:inline distT="0" distB="0" distL="0" distR="0" wp14:anchorId="772DCF24" wp14:editId="0990A406">
            <wp:extent cx="5239265" cy="2668905"/>
            <wp:effectExtent l="0" t="0" r="6350" b="0"/>
            <wp:docPr id="5" name="Picture 5" descr="Regional AOV forecast dashboard showing regional AOV, addressable gap, $120 target, regions and customers below target, regional bars, and historical versus forecast customer-average AOV." title="Regional Average Order Value Forecas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aov_dashboard.png"/>
                    <pic:cNvPicPr/>
                  </pic:nvPicPr>
                  <pic:blipFill>
                    <a:blip r:embed="rId12"/>
                    <a:stretch>
                      <a:fillRect/>
                    </a:stretch>
                  </pic:blipFill>
                  <pic:spPr>
                    <a:xfrm>
                      <a:off x="0" y="0"/>
                      <a:ext cx="5261885" cy="2680428"/>
                    </a:xfrm>
                    <a:prstGeom prst="rect">
                      <a:avLst/>
                    </a:prstGeom>
                  </pic:spPr>
                </pic:pic>
              </a:graphicData>
            </a:graphic>
          </wp:inline>
        </w:drawing>
      </w:r>
    </w:p>
    <w:p w14:paraId="39861FA9" w14:textId="3913EE44" w:rsidR="00856F00" w:rsidRPr="001C3067" w:rsidRDefault="00E411A8" w:rsidP="001C3067">
      <w:pPr>
        <w:pStyle w:val="Heading3"/>
      </w:pPr>
      <w:bookmarkStart w:id="27" w:name="_Toc236853439"/>
      <w:r w:rsidRPr="006F4D4C">
        <w:rPr>
          <w:b/>
        </w:rPr>
        <w:t>Figure 5</w:t>
      </w:r>
      <w:r w:rsidRPr="006F4D4C">
        <w:t>: Regional Average Order Value Forecast Dashboard</w:t>
      </w:r>
      <w:bookmarkEnd w:id="27"/>
    </w:p>
    <w:p w14:paraId="49C20BAD" w14:textId="29465FA0" w:rsidR="00E411A8" w:rsidRPr="006F4D4C" w:rsidRDefault="00856F00" w:rsidP="001C3067">
      <w:pPr>
        <w:pStyle w:val="Heading3"/>
      </w:pPr>
      <w:bookmarkStart w:id="28" w:name="_Toc236853440"/>
      <w:r w:rsidRPr="006F4D4C">
        <w:t>AOV values after filter and denominator</w:t>
      </w:r>
      <w:bookmarkEnd w:id="28"/>
    </w:p>
    <w:tbl>
      <w:tblPr>
        <w:tblStyle w:val="TableGrid"/>
        <w:tblW w:w="10082" w:type="dxa"/>
        <w:tblLook w:val="04A0" w:firstRow="1" w:lastRow="0" w:firstColumn="1" w:lastColumn="0" w:noHBand="0" w:noVBand="1"/>
      </w:tblPr>
      <w:tblGrid>
        <w:gridCol w:w="2929"/>
        <w:gridCol w:w="1650"/>
        <w:gridCol w:w="2589"/>
        <w:gridCol w:w="2914"/>
      </w:tblGrid>
      <w:tr w:rsidR="00E411A8" w:rsidRPr="00753FE5" w14:paraId="3522CEE7" w14:textId="77777777" w:rsidTr="00E411A8">
        <w:trPr>
          <w:trHeight w:val="209"/>
        </w:trPr>
        <w:tc>
          <w:tcPr>
            <w:tcW w:w="2929" w:type="dxa"/>
            <w:vAlign w:val="center"/>
          </w:tcPr>
          <w:p w14:paraId="0E2E5868" w14:textId="5FC9389A" w:rsidR="00E411A8" w:rsidRPr="00753FE5" w:rsidRDefault="00E411A8" w:rsidP="00E411A8">
            <w:pPr>
              <w:keepNext/>
              <w:rPr>
                <w:rFonts w:ascii="Arial" w:hAnsi="Arial" w:cs="Arial"/>
                <w:color w:val="000000" w:themeColor="text1"/>
                <w:sz w:val="20"/>
                <w:szCs w:val="20"/>
              </w:rPr>
            </w:pPr>
            <w:r w:rsidRPr="00753FE5">
              <w:rPr>
                <w:rFonts w:ascii="Arial" w:hAnsi="Arial" w:cs="Arial"/>
                <w:b/>
                <w:color w:val="000000" w:themeColor="text1"/>
                <w:sz w:val="20"/>
                <w:szCs w:val="20"/>
              </w:rPr>
              <w:t>AOV measure</w:t>
            </w:r>
          </w:p>
        </w:tc>
        <w:tc>
          <w:tcPr>
            <w:tcW w:w="1650" w:type="dxa"/>
            <w:vAlign w:val="center"/>
          </w:tcPr>
          <w:p w14:paraId="73FCCF96" w14:textId="75630C61" w:rsidR="00E411A8" w:rsidRPr="00753FE5" w:rsidRDefault="00E411A8" w:rsidP="00E411A8">
            <w:pPr>
              <w:keepNext/>
              <w:rPr>
                <w:rFonts w:ascii="Arial" w:hAnsi="Arial" w:cs="Arial"/>
                <w:color w:val="000000" w:themeColor="text1"/>
                <w:sz w:val="20"/>
                <w:szCs w:val="20"/>
              </w:rPr>
            </w:pPr>
            <w:r w:rsidRPr="00753FE5">
              <w:rPr>
                <w:rFonts w:ascii="Arial" w:hAnsi="Arial" w:cs="Arial"/>
                <w:b/>
                <w:color w:val="000000" w:themeColor="text1"/>
                <w:sz w:val="20"/>
                <w:szCs w:val="20"/>
              </w:rPr>
              <w:t>Value</w:t>
            </w:r>
          </w:p>
        </w:tc>
        <w:tc>
          <w:tcPr>
            <w:tcW w:w="2589" w:type="dxa"/>
            <w:vAlign w:val="center"/>
          </w:tcPr>
          <w:p w14:paraId="6B6DC05A" w14:textId="507AD5BA" w:rsidR="00E411A8" w:rsidRPr="00753FE5" w:rsidRDefault="00E411A8" w:rsidP="00E411A8">
            <w:pPr>
              <w:keepNext/>
              <w:rPr>
                <w:rFonts w:ascii="Arial" w:hAnsi="Arial" w:cs="Arial"/>
                <w:color w:val="000000" w:themeColor="text1"/>
                <w:sz w:val="20"/>
                <w:szCs w:val="20"/>
              </w:rPr>
            </w:pPr>
            <w:r w:rsidRPr="00753FE5">
              <w:rPr>
                <w:rFonts w:ascii="Arial" w:hAnsi="Arial" w:cs="Arial"/>
                <w:b/>
                <w:color w:val="000000" w:themeColor="text1"/>
                <w:sz w:val="20"/>
                <w:szCs w:val="20"/>
              </w:rPr>
              <w:t>Calculation grain</w:t>
            </w:r>
          </w:p>
        </w:tc>
        <w:tc>
          <w:tcPr>
            <w:tcW w:w="2914" w:type="dxa"/>
            <w:vAlign w:val="center"/>
          </w:tcPr>
          <w:p w14:paraId="73AF1A8C" w14:textId="397A0F1E" w:rsidR="00E411A8" w:rsidRPr="00753FE5" w:rsidRDefault="00E411A8" w:rsidP="00E411A8">
            <w:pPr>
              <w:keepNext/>
              <w:rPr>
                <w:rFonts w:ascii="Arial" w:hAnsi="Arial" w:cs="Arial"/>
                <w:color w:val="000000" w:themeColor="text1"/>
                <w:sz w:val="20"/>
                <w:szCs w:val="20"/>
              </w:rPr>
            </w:pPr>
            <w:r w:rsidRPr="00753FE5">
              <w:rPr>
                <w:rFonts w:ascii="Arial" w:hAnsi="Arial" w:cs="Arial"/>
                <w:b/>
                <w:color w:val="000000" w:themeColor="text1"/>
                <w:sz w:val="20"/>
                <w:szCs w:val="20"/>
              </w:rPr>
              <w:t>What it answers</w:t>
            </w:r>
          </w:p>
        </w:tc>
      </w:tr>
      <w:tr w:rsidR="00E411A8" w:rsidRPr="00753FE5" w14:paraId="2070E033" w14:textId="77777777" w:rsidTr="00E411A8">
        <w:trPr>
          <w:trHeight w:val="418"/>
        </w:trPr>
        <w:tc>
          <w:tcPr>
            <w:tcW w:w="2929" w:type="dxa"/>
          </w:tcPr>
          <w:p w14:paraId="2BB04E91" w14:textId="458D555F"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Weighted completed-order AOV</w:t>
            </w:r>
          </w:p>
        </w:tc>
        <w:tc>
          <w:tcPr>
            <w:tcW w:w="1650" w:type="dxa"/>
          </w:tcPr>
          <w:p w14:paraId="61F41D5C" w14:textId="73DEE7B0"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$102.59</w:t>
            </w:r>
          </w:p>
        </w:tc>
        <w:tc>
          <w:tcPr>
            <w:tcW w:w="2589" w:type="dxa"/>
          </w:tcPr>
          <w:p w14:paraId="7E92DE38" w14:textId="13662EA5"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Net sales ÷ completed orders</w:t>
            </w:r>
          </w:p>
        </w:tc>
        <w:tc>
          <w:tcPr>
            <w:tcW w:w="2914" w:type="dxa"/>
          </w:tcPr>
          <w:p w14:paraId="006E268D" w14:textId="1AA2C033"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Average value of a completed order</w:t>
            </w:r>
          </w:p>
        </w:tc>
      </w:tr>
      <w:tr w:rsidR="00E411A8" w:rsidRPr="00753FE5" w14:paraId="65136970" w14:textId="77777777" w:rsidTr="00E411A8">
        <w:trPr>
          <w:trHeight w:val="375"/>
        </w:trPr>
        <w:tc>
          <w:tcPr>
            <w:tcW w:w="2929" w:type="dxa"/>
          </w:tcPr>
          <w:p w14:paraId="41C57A76" w14:textId="5A10E6CA"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Executive dashboard AOV</w:t>
            </w:r>
          </w:p>
        </w:tc>
        <w:tc>
          <w:tcPr>
            <w:tcW w:w="1650" w:type="dxa"/>
          </w:tcPr>
          <w:p w14:paraId="2DADB0A4" w14:textId="496B2DEB"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$101.84</w:t>
            </w:r>
          </w:p>
        </w:tc>
        <w:tc>
          <w:tcPr>
            <w:tcW w:w="2589" w:type="dxa"/>
          </w:tcPr>
          <w:p w14:paraId="1034ABC4" w14:textId="52181CE6"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Power BI filter context</w:t>
            </w:r>
          </w:p>
        </w:tc>
        <w:tc>
          <w:tcPr>
            <w:tcW w:w="2914" w:type="dxa"/>
          </w:tcPr>
          <w:p w14:paraId="7B2F0455" w14:textId="70B4373F"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Executive view; requires measure reconciliation</w:t>
            </w:r>
          </w:p>
        </w:tc>
      </w:tr>
      <w:tr w:rsidR="00E411A8" w:rsidRPr="00753FE5" w14:paraId="65A195F5" w14:textId="77777777" w:rsidTr="00E411A8">
        <w:trPr>
          <w:trHeight w:val="418"/>
        </w:trPr>
        <w:tc>
          <w:tcPr>
            <w:tcW w:w="2929" w:type="dxa"/>
          </w:tcPr>
          <w:p w14:paraId="72ADC200" w14:textId="5572C5F2"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Regional dashboard AOV</w:t>
            </w:r>
          </w:p>
        </w:tc>
        <w:tc>
          <w:tcPr>
            <w:tcW w:w="1650" w:type="dxa"/>
          </w:tcPr>
          <w:p w14:paraId="6D6F2C56" w14:textId="2FCD6843"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$101.62</w:t>
            </w:r>
          </w:p>
        </w:tc>
        <w:tc>
          <w:tcPr>
            <w:tcW w:w="2589" w:type="dxa"/>
          </w:tcPr>
          <w:p w14:paraId="67981EAF" w14:textId="02197CCC"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Average across regional/customer measures</w:t>
            </w:r>
          </w:p>
        </w:tc>
        <w:tc>
          <w:tcPr>
            <w:tcW w:w="2914" w:type="dxa"/>
          </w:tcPr>
          <w:p w14:paraId="2CBC5247" w14:textId="4CB85A1B"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Regional comparison and target gap</w:t>
            </w:r>
          </w:p>
        </w:tc>
      </w:tr>
      <w:tr w:rsidR="00E411A8" w:rsidRPr="00753FE5" w14:paraId="1EE55E29" w14:textId="77777777" w:rsidTr="00E411A8">
        <w:trPr>
          <w:trHeight w:val="435"/>
        </w:trPr>
        <w:tc>
          <w:tcPr>
            <w:tcW w:w="2929" w:type="dxa"/>
          </w:tcPr>
          <w:p w14:paraId="6C585B5D" w14:textId="2F20CAB4"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Mean customer AOV</w:t>
            </w:r>
          </w:p>
        </w:tc>
        <w:tc>
          <w:tcPr>
            <w:tcW w:w="1650" w:type="dxa"/>
          </w:tcPr>
          <w:p w14:paraId="1AEC58FB" w14:textId="7625AEA6"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$100.50</w:t>
            </w:r>
          </w:p>
        </w:tc>
        <w:tc>
          <w:tcPr>
            <w:tcW w:w="2589" w:type="dxa"/>
          </w:tcPr>
          <w:p w14:paraId="4F4B1FED" w14:textId="26D55E66"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Average of customer-level AOV values</w:t>
            </w:r>
          </w:p>
        </w:tc>
        <w:tc>
          <w:tcPr>
            <w:tcW w:w="2914" w:type="dxa"/>
          </w:tcPr>
          <w:p w14:paraId="45544704" w14:textId="57659F24"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Typical customer-average behaviour</w:t>
            </w:r>
          </w:p>
        </w:tc>
      </w:tr>
      <w:tr w:rsidR="00E411A8" w:rsidRPr="00753FE5" w14:paraId="7B601E91" w14:textId="77777777" w:rsidTr="00E411A8">
        <w:trPr>
          <w:trHeight w:val="401"/>
        </w:trPr>
        <w:tc>
          <w:tcPr>
            <w:tcW w:w="2929" w:type="dxa"/>
          </w:tcPr>
          <w:p w14:paraId="22D93A8B" w14:textId="180D238D"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Median customer AOV</w:t>
            </w:r>
          </w:p>
        </w:tc>
        <w:tc>
          <w:tcPr>
            <w:tcW w:w="1650" w:type="dxa"/>
          </w:tcPr>
          <w:p w14:paraId="3D29A951" w14:textId="1EAA0E1E"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$84.73</w:t>
            </w:r>
          </w:p>
        </w:tc>
        <w:tc>
          <w:tcPr>
            <w:tcW w:w="2589" w:type="dxa"/>
          </w:tcPr>
          <w:p w14:paraId="00D3DB5B" w14:textId="6293430D"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Middle customer-level AOV</w:t>
            </w:r>
          </w:p>
        </w:tc>
        <w:tc>
          <w:tcPr>
            <w:tcW w:w="2914" w:type="dxa"/>
          </w:tcPr>
          <w:p w14:paraId="0DFFBC4B" w14:textId="7097000B" w:rsidR="00E411A8" w:rsidRPr="00753FE5" w:rsidRDefault="00E411A8" w:rsidP="00E411A8">
            <w:pPr>
              <w:keepNext/>
              <w:rPr>
                <w:rFonts w:ascii="Arial" w:hAnsi="Arial" w:cs="Arial"/>
                <w:color w:val="000000" w:themeColor="text1"/>
                <w:sz w:val="20"/>
                <w:szCs w:val="20"/>
              </w:rPr>
            </w:pPr>
            <w:r w:rsidRPr="00753FE5">
              <w:rPr>
                <w:rFonts w:ascii="Arial" w:hAnsi="Arial" w:cs="Arial"/>
                <w:color w:val="000000" w:themeColor="text1"/>
                <w:sz w:val="20"/>
                <w:szCs w:val="20"/>
              </w:rPr>
              <w:t>Less sensitive to high-value outliers</w:t>
            </w:r>
          </w:p>
        </w:tc>
      </w:tr>
    </w:tbl>
    <w:p w14:paraId="4DC63F41" w14:textId="77777777" w:rsidR="00E411A8" w:rsidRPr="006F4D4C" w:rsidRDefault="00E411A8" w:rsidP="00E411A8">
      <w:pPr>
        <w:keepNext/>
        <w:spacing w:after="0"/>
        <w:rPr>
          <w:rFonts w:ascii="Arial" w:hAnsi="Arial" w:cs="Arial"/>
          <w:color w:val="000000" w:themeColor="text1"/>
          <w:sz w:val="22"/>
          <w:szCs w:val="22"/>
        </w:rPr>
      </w:pPr>
    </w:p>
    <w:p w14:paraId="6A39D5A1" w14:textId="5CF2DC18" w:rsidR="00856F00" w:rsidRPr="006F4D4C" w:rsidRDefault="00856F00" w:rsidP="00856F00">
      <w:pPr>
        <w:rPr>
          <w:rFonts w:ascii="Arial" w:hAnsi="Arial" w:cs="Arial"/>
          <w:color w:val="000000" w:themeColor="text1"/>
          <w:sz w:val="22"/>
          <w:szCs w:val="22"/>
        </w:rPr>
      </w:pPr>
      <w:r w:rsidRPr="006F4D4C">
        <w:rPr>
          <w:rFonts w:ascii="Arial" w:hAnsi="Arial" w:cs="Arial"/>
          <w:color w:val="000000" w:themeColor="text1"/>
          <w:sz w:val="22"/>
          <w:szCs w:val="22"/>
        </w:rPr>
        <w:t>The forecast implies order</w:t>
      </w:r>
      <w:r w:rsidR="002E1A50"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level AOV of $118.20 in 2026, $121.20 in 2027, and $123.61 in 2028, while the regional customer</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average forecast remains below $120. These are different measures, not competing forecasts. Canada Vapes should decide whether the target applies to order AOV, customer</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average AOV, or both, then use separate target lines and variance measures.</w:t>
      </w:r>
    </w:p>
    <w:p w14:paraId="7AB7A6E4" w14:textId="65A5A6A1" w:rsidR="00856F00" w:rsidRPr="006F4D4C" w:rsidRDefault="00856F00" w:rsidP="001C3067">
      <w:pPr>
        <w:pStyle w:val="Heading2"/>
      </w:pPr>
      <w:bookmarkStart w:id="29" w:name="_Toc236853441"/>
      <w:r w:rsidRPr="006F4D4C">
        <w:t>Ethics, Privacy, Governance, and Responsible Marketing</w:t>
      </w:r>
      <w:bookmarkEnd w:id="29"/>
    </w:p>
    <w:p w14:paraId="728A640C" w14:textId="0B9E46B9" w:rsidR="00856F00" w:rsidRPr="006F4D4C" w:rsidRDefault="00856F00" w:rsidP="00856F00">
      <w:pPr>
        <w:rPr>
          <w:rFonts w:ascii="Arial" w:hAnsi="Arial" w:cs="Arial"/>
          <w:color w:val="000000" w:themeColor="text1"/>
          <w:sz w:val="22"/>
          <w:szCs w:val="22"/>
        </w:rPr>
      </w:pPr>
      <w:r w:rsidRPr="006F4D4C">
        <w:rPr>
          <w:rFonts w:ascii="Arial" w:hAnsi="Arial" w:cs="Arial"/>
          <w:color w:val="000000" w:themeColor="text1"/>
          <w:sz w:val="22"/>
          <w:szCs w:val="22"/>
        </w:rPr>
        <w:t>Because vaping is regulated, the analysis requires strong responsible</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use controls. Customer</w:t>
      </w:r>
      <w:r w:rsidRPr="006F4D4C">
        <w:rPr>
          <w:rFonts w:ascii="Arial" w:hAnsi="Arial" w:cs="Arial"/>
          <w:color w:val="000000" w:themeColor="text1"/>
          <w:sz w:val="22"/>
          <w:szCs w:val="22"/>
        </w:rPr>
        <w:t xml:space="preserve"> l</w:t>
      </w:r>
      <w:r w:rsidRPr="006F4D4C">
        <w:rPr>
          <w:rFonts w:ascii="Arial" w:hAnsi="Arial" w:cs="Arial"/>
          <w:color w:val="000000" w:themeColor="text1"/>
          <w:sz w:val="22"/>
          <w:szCs w:val="22"/>
        </w:rPr>
        <w:t>evel data remains confidential without names, so access should be restricted, results aggregated, transformations documented, and recommendations kept away from underage or irresponsible use.</w:t>
      </w:r>
    </w:p>
    <w:p w14:paraId="422D1DDD" w14:textId="3370C3B0" w:rsidR="00856F00" w:rsidRPr="006F4D4C" w:rsidRDefault="00856F00" w:rsidP="00856F00">
      <w:pPr>
        <w:rPr>
          <w:rFonts w:ascii="Arial" w:hAnsi="Arial" w:cs="Arial"/>
          <w:color w:val="000000" w:themeColor="text1"/>
          <w:sz w:val="22"/>
          <w:szCs w:val="22"/>
        </w:rPr>
      </w:pPr>
      <w:r w:rsidRPr="006F4D4C">
        <w:rPr>
          <w:rFonts w:ascii="Arial" w:hAnsi="Arial" w:cs="Arial"/>
          <w:color w:val="000000" w:themeColor="text1"/>
          <w:sz w:val="22"/>
          <w:szCs w:val="22"/>
        </w:rPr>
        <w:lastRenderedPageBreak/>
        <w:t xml:space="preserve">PIPEDA supports purpose limitation, consent, limited collection and use, accuracy, safeguards, openness, and accountability. Canada Vapes should use only data needed for approved retention and AOV work, protect privacy-safe identifiers, document eligibility rules, and avoid inferred sensitive traits. Health Canada also requires effective restriction of online promotions from young persons; </w:t>
      </w:r>
      <w:r w:rsidRPr="006F4D4C">
        <w:rPr>
          <w:rFonts w:ascii="Arial" w:hAnsi="Arial" w:cs="Arial"/>
          <w:color w:val="000000" w:themeColor="text1"/>
          <w:sz w:val="22"/>
          <w:szCs w:val="22"/>
        </w:rPr>
        <w:t>self-declaration</w:t>
      </w:r>
      <w:r w:rsidRPr="006F4D4C">
        <w:rPr>
          <w:rFonts w:ascii="Arial" w:hAnsi="Arial" w:cs="Arial"/>
          <w:color w:val="000000" w:themeColor="text1"/>
          <w:sz w:val="22"/>
          <w:szCs w:val="22"/>
        </w:rPr>
        <w:t xml:space="preserve"> alone is not sufficient age verification (Health Canada, 2020).</w:t>
      </w:r>
    </w:p>
    <w:p w14:paraId="01A8487E" w14:textId="4096B5B8" w:rsidR="002E1A50" w:rsidRPr="006F4D4C" w:rsidRDefault="002E1A50" w:rsidP="001C3067">
      <w:pPr>
        <w:pStyle w:val="Heading2"/>
      </w:pPr>
      <w:bookmarkStart w:id="30" w:name="_Toc236853442"/>
      <w:r w:rsidRPr="006F4D4C">
        <w:t>Analytical privacy and regulatory compliance recommendation</w:t>
      </w:r>
      <w:bookmarkEnd w:id="30"/>
    </w:p>
    <w:tbl>
      <w:tblPr>
        <w:tblStyle w:val="TableGrid"/>
        <w:tblW w:w="9834" w:type="dxa"/>
        <w:tblLook w:val="04A0" w:firstRow="1" w:lastRow="0" w:firstColumn="1" w:lastColumn="0" w:noHBand="0" w:noVBand="1"/>
      </w:tblPr>
      <w:tblGrid>
        <w:gridCol w:w="2122"/>
        <w:gridCol w:w="3969"/>
        <w:gridCol w:w="3743"/>
      </w:tblGrid>
      <w:tr w:rsidR="002E1A50" w:rsidRPr="00753FE5" w14:paraId="1C3B4E18" w14:textId="77777777" w:rsidTr="002E1A50">
        <w:trPr>
          <w:trHeight w:val="329"/>
        </w:trPr>
        <w:tc>
          <w:tcPr>
            <w:tcW w:w="2122" w:type="dxa"/>
            <w:vAlign w:val="center"/>
          </w:tcPr>
          <w:p w14:paraId="31FF258B" w14:textId="481DC8E0" w:rsidR="002E1A50" w:rsidRPr="00753FE5" w:rsidRDefault="002E1A50" w:rsidP="002E1A50">
            <w:pPr>
              <w:rPr>
                <w:rFonts w:ascii="Arial" w:hAnsi="Arial" w:cs="Arial"/>
                <w:color w:val="000000" w:themeColor="text1"/>
                <w:sz w:val="20"/>
                <w:szCs w:val="20"/>
              </w:rPr>
            </w:pPr>
            <w:r w:rsidRPr="00753FE5">
              <w:rPr>
                <w:rFonts w:ascii="Arial" w:hAnsi="Arial" w:cs="Arial"/>
                <w:b/>
                <w:color w:val="000000" w:themeColor="text1"/>
                <w:sz w:val="20"/>
                <w:szCs w:val="20"/>
              </w:rPr>
              <w:t>Ethics / governance risk</w:t>
            </w:r>
          </w:p>
        </w:tc>
        <w:tc>
          <w:tcPr>
            <w:tcW w:w="3969" w:type="dxa"/>
            <w:vAlign w:val="center"/>
          </w:tcPr>
          <w:p w14:paraId="561598AD" w14:textId="1BC176B2" w:rsidR="002E1A50" w:rsidRPr="00753FE5" w:rsidRDefault="002E1A50" w:rsidP="002E1A50">
            <w:pPr>
              <w:rPr>
                <w:rFonts w:ascii="Arial" w:hAnsi="Arial" w:cs="Arial"/>
                <w:color w:val="000000" w:themeColor="text1"/>
                <w:sz w:val="20"/>
                <w:szCs w:val="20"/>
              </w:rPr>
            </w:pPr>
            <w:r w:rsidRPr="00753FE5">
              <w:rPr>
                <w:rFonts w:ascii="Arial" w:hAnsi="Arial" w:cs="Arial"/>
                <w:b/>
                <w:color w:val="000000" w:themeColor="text1"/>
                <w:sz w:val="20"/>
                <w:szCs w:val="20"/>
              </w:rPr>
              <w:t>Why it matters in this project</w:t>
            </w:r>
          </w:p>
        </w:tc>
        <w:tc>
          <w:tcPr>
            <w:tcW w:w="3743" w:type="dxa"/>
            <w:vAlign w:val="center"/>
          </w:tcPr>
          <w:p w14:paraId="11CB1A15" w14:textId="5D616BEA" w:rsidR="002E1A50" w:rsidRPr="00753FE5" w:rsidRDefault="002E1A50" w:rsidP="002E1A50">
            <w:pPr>
              <w:rPr>
                <w:rFonts w:ascii="Arial" w:hAnsi="Arial" w:cs="Arial"/>
                <w:color w:val="000000" w:themeColor="text1"/>
                <w:sz w:val="20"/>
                <w:szCs w:val="20"/>
              </w:rPr>
            </w:pPr>
            <w:r w:rsidRPr="00753FE5">
              <w:rPr>
                <w:rFonts w:ascii="Arial" w:hAnsi="Arial" w:cs="Arial"/>
                <w:b/>
                <w:color w:val="000000" w:themeColor="text1"/>
                <w:sz w:val="20"/>
                <w:szCs w:val="20"/>
              </w:rPr>
              <w:t>Required control before activation</w:t>
            </w:r>
          </w:p>
        </w:tc>
      </w:tr>
      <w:tr w:rsidR="002E1A50" w:rsidRPr="00753FE5" w14:paraId="7FCD3113" w14:textId="77777777" w:rsidTr="002E1A50">
        <w:trPr>
          <w:trHeight w:val="308"/>
        </w:trPr>
        <w:tc>
          <w:tcPr>
            <w:tcW w:w="2122" w:type="dxa"/>
          </w:tcPr>
          <w:p w14:paraId="2C3A2CAE" w14:textId="39B01444"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Youth exposure</w:t>
            </w:r>
          </w:p>
        </w:tc>
        <w:tc>
          <w:tcPr>
            <w:tcW w:w="3969" w:type="dxa"/>
          </w:tcPr>
          <w:p w14:paraId="2DB5CA9B" w14:textId="67F35BF6"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AOV and retention campaigns could become personalized promotion</w:t>
            </w:r>
          </w:p>
        </w:tc>
        <w:tc>
          <w:tcPr>
            <w:tcW w:w="3743" w:type="dxa"/>
          </w:tcPr>
          <w:p w14:paraId="1C97E6A0" w14:textId="7D75D4C8"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Apply effective age and identity verification; exclude ineligible audiences; compliance review of creative and channels</w:t>
            </w:r>
          </w:p>
        </w:tc>
      </w:tr>
      <w:tr w:rsidR="002E1A50" w:rsidRPr="00753FE5" w14:paraId="2E56EB4C" w14:textId="77777777" w:rsidTr="002E1A50">
        <w:trPr>
          <w:trHeight w:val="329"/>
        </w:trPr>
        <w:tc>
          <w:tcPr>
            <w:tcW w:w="2122" w:type="dxa"/>
          </w:tcPr>
          <w:p w14:paraId="3E7B358D" w14:textId="330634D8"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Purpose creep</w:t>
            </w:r>
          </w:p>
        </w:tc>
        <w:tc>
          <w:tcPr>
            <w:tcW w:w="3969" w:type="dxa"/>
          </w:tcPr>
          <w:p w14:paraId="1FBEBB9A" w14:textId="7E1BC946"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Customer data collected for transactions could be reused too broadly</w:t>
            </w:r>
          </w:p>
        </w:tc>
        <w:tc>
          <w:tcPr>
            <w:tcW w:w="3743" w:type="dxa"/>
          </w:tcPr>
          <w:p w14:paraId="2001BD66" w14:textId="2C7108A0"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Document the approved analytical purpose, fields used, retention period, and authorized users</w:t>
            </w:r>
          </w:p>
        </w:tc>
      </w:tr>
      <w:tr w:rsidR="002E1A50" w:rsidRPr="00753FE5" w14:paraId="6E787C4B" w14:textId="77777777" w:rsidTr="002E1A50">
        <w:trPr>
          <w:trHeight w:val="308"/>
        </w:trPr>
        <w:tc>
          <w:tcPr>
            <w:tcW w:w="2122" w:type="dxa"/>
          </w:tcPr>
          <w:p w14:paraId="12057DCC" w14:textId="10260888"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Regional bias</w:t>
            </w:r>
          </w:p>
        </w:tc>
        <w:tc>
          <w:tcPr>
            <w:tcW w:w="3969" w:type="dxa"/>
          </w:tcPr>
          <w:p w14:paraId="0C69F163" w14:textId="0B058BA0"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Large provinces may dominate because of existing scale; small regions may show unstable averages</w:t>
            </w:r>
          </w:p>
        </w:tc>
        <w:tc>
          <w:tcPr>
            <w:tcW w:w="3743" w:type="dxa"/>
          </w:tcPr>
          <w:p w14:paraId="09497C31" w14:textId="0764A14B"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Report sample size and reach with AOV; avoid conclusions based on AOV alone</w:t>
            </w:r>
          </w:p>
        </w:tc>
      </w:tr>
      <w:tr w:rsidR="002E1A50" w:rsidRPr="00753FE5" w14:paraId="3C653D76" w14:textId="77777777" w:rsidTr="002E1A50">
        <w:trPr>
          <w:trHeight w:val="329"/>
        </w:trPr>
        <w:tc>
          <w:tcPr>
            <w:tcW w:w="2122" w:type="dxa"/>
          </w:tcPr>
          <w:p w14:paraId="5E32B0D5" w14:textId="1E21F684"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Privacy and confidentiality</w:t>
            </w:r>
          </w:p>
        </w:tc>
        <w:tc>
          <w:tcPr>
            <w:tcW w:w="3969" w:type="dxa"/>
          </w:tcPr>
          <w:p w14:paraId="50927315" w14:textId="6ECA4314"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Pseudonymous purchase history can remain sensitive and linkable</w:t>
            </w:r>
          </w:p>
        </w:tc>
        <w:tc>
          <w:tcPr>
            <w:tcW w:w="3743" w:type="dxa"/>
          </w:tcPr>
          <w:p w14:paraId="7CC3B37E" w14:textId="3A8C7271"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Restrict access, use secure storage, aggregate reporting, and maintain an access and version log</w:t>
            </w:r>
          </w:p>
        </w:tc>
      </w:tr>
      <w:tr w:rsidR="002E1A50" w:rsidRPr="00753FE5" w14:paraId="2900E96C" w14:textId="77777777" w:rsidTr="002E1A50">
        <w:trPr>
          <w:trHeight w:val="308"/>
        </w:trPr>
        <w:tc>
          <w:tcPr>
            <w:tcW w:w="2122" w:type="dxa"/>
          </w:tcPr>
          <w:p w14:paraId="54BCCFB3" w14:textId="17FAE6C5"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Misleading ROI claims</w:t>
            </w:r>
          </w:p>
        </w:tc>
        <w:tc>
          <w:tcPr>
            <w:tcW w:w="3969" w:type="dxa"/>
          </w:tcPr>
          <w:p w14:paraId="0083260F" w14:textId="607C3AD1"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Revenue opportunity is not profit and descriptive lift is not causation</w:t>
            </w:r>
          </w:p>
        </w:tc>
        <w:tc>
          <w:tcPr>
            <w:tcW w:w="3743" w:type="dxa"/>
          </w:tcPr>
          <w:p w14:paraId="2E8E557C" w14:textId="390F3BBB"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Use holdout groups and add cost/margin data before budget scaling</w:t>
            </w:r>
          </w:p>
        </w:tc>
      </w:tr>
      <w:tr w:rsidR="002E1A50" w:rsidRPr="00753FE5" w14:paraId="739D7AE6" w14:textId="77777777" w:rsidTr="002E1A50">
        <w:trPr>
          <w:trHeight w:val="308"/>
        </w:trPr>
        <w:tc>
          <w:tcPr>
            <w:tcW w:w="2122" w:type="dxa"/>
          </w:tcPr>
          <w:p w14:paraId="3C19C356" w14:textId="0F73CB9E"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Data integrity</w:t>
            </w:r>
          </w:p>
        </w:tc>
        <w:tc>
          <w:tcPr>
            <w:tcW w:w="3969" w:type="dxa"/>
          </w:tcPr>
          <w:p w14:paraId="3DB33D33" w14:textId="18E95AFD"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Different AOV definitions can lead to conflicting decisions</w:t>
            </w:r>
          </w:p>
        </w:tc>
        <w:tc>
          <w:tcPr>
            <w:tcW w:w="3743" w:type="dxa"/>
          </w:tcPr>
          <w:p w14:paraId="29257A8A" w14:textId="1873573E"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Govern metric definitions, data lineage, refresh timing, and validation tests</w:t>
            </w:r>
          </w:p>
        </w:tc>
      </w:tr>
    </w:tbl>
    <w:p w14:paraId="2E5990DC" w14:textId="77777777" w:rsidR="002E1A50" w:rsidRPr="006F4D4C" w:rsidRDefault="002E1A50" w:rsidP="00E411A8">
      <w:pPr>
        <w:keepNext/>
        <w:spacing w:after="0"/>
        <w:rPr>
          <w:rFonts w:ascii="Arial" w:hAnsi="Arial" w:cs="Arial"/>
          <w:color w:val="000000" w:themeColor="text1"/>
          <w:sz w:val="22"/>
          <w:szCs w:val="22"/>
        </w:rPr>
      </w:pPr>
    </w:p>
    <w:p w14:paraId="7E1AA3DF" w14:textId="254B4665" w:rsidR="002E1A50" w:rsidRDefault="002E1A50" w:rsidP="00E411A8">
      <w:pPr>
        <w:keepNext/>
        <w:spacing w:after="0"/>
        <w:rPr>
          <w:rFonts w:ascii="Arial" w:hAnsi="Arial" w:cs="Arial"/>
          <w:color w:val="000000" w:themeColor="text1"/>
          <w:sz w:val="22"/>
          <w:szCs w:val="22"/>
        </w:rPr>
      </w:pPr>
      <w:r w:rsidRPr="006F4D4C">
        <w:rPr>
          <w:rFonts w:ascii="Arial" w:hAnsi="Arial" w:cs="Arial"/>
          <w:color w:val="000000" w:themeColor="text1"/>
          <w:sz w:val="22"/>
          <w:szCs w:val="22"/>
        </w:rPr>
        <w:t>Revenue growth is not successful if it breaches age-gating, exceeds the approved data purpose, or creates an unmeasured margin loss. Responsible analytics keeps decisions transparent, testable, and auditable.</w:t>
      </w:r>
    </w:p>
    <w:p w14:paraId="1ABF1FB9" w14:textId="77777777" w:rsidR="001C3067" w:rsidRDefault="001C3067" w:rsidP="00E411A8">
      <w:pPr>
        <w:keepNext/>
        <w:spacing w:after="0"/>
        <w:rPr>
          <w:rFonts w:ascii="Arial" w:hAnsi="Arial" w:cs="Arial"/>
          <w:color w:val="000000" w:themeColor="text1"/>
          <w:sz w:val="22"/>
          <w:szCs w:val="22"/>
        </w:rPr>
      </w:pPr>
    </w:p>
    <w:p w14:paraId="6503E2F4" w14:textId="77777777" w:rsidR="001C3067" w:rsidRPr="006F4D4C" w:rsidRDefault="001C3067" w:rsidP="00E411A8">
      <w:pPr>
        <w:keepNext/>
        <w:spacing w:after="0"/>
        <w:rPr>
          <w:rFonts w:ascii="Arial" w:hAnsi="Arial" w:cs="Arial"/>
          <w:color w:val="000000" w:themeColor="text1"/>
          <w:sz w:val="22"/>
          <w:szCs w:val="22"/>
        </w:rPr>
      </w:pPr>
    </w:p>
    <w:p w14:paraId="748416AA" w14:textId="77777777" w:rsidR="001C3067" w:rsidRDefault="001C3067">
      <w:pPr>
        <w:spacing w:line="278" w:lineRule="auto"/>
        <w:rPr>
          <w:rFonts w:asciiTheme="majorHAnsi" w:eastAsiaTheme="majorEastAsia" w:hAnsiTheme="majorHAnsi" w:cstheme="majorBidi"/>
          <w:color w:val="0F4761" w:themeColor="accent1" w:themeShade="BF"/>
          <w:sz w:val="40"/>
          <w:szCs w:val="40"/>
        </w:rPr>
      </w:pPr>
      <w:r>
        <w:br w:type="page"/>
      </w:r>
    </w:p>
    <w:p w14:paraId="090A302F" w14:textId="1139E147" w:rsidR="00C32A54" w:rsidRPr="006F4D4C" w:rsidRDefault="00C32A54" w:rsidP="001C3067">
      <w:pPr>
        <w:pStyle w:val="Heading1"/>
      </w:pPr>
      <w:bookmarkStart w:id="31" w:name="_Toc236853443"/>
      <w:r w:rsidRPr="006F4D4C">
        <w:lastRenderedPageBreak/>
        <w:t>RECOMMENDATION</w:t>
      </w:r>
      <w:r w:rsidR="002E1A50" w:rsidRPr="006F4D4C">
        <w:t xml:space="preserve"> &amp; NEXT STEPS</w:t>
      </w:r>
      <w:bookmarkEnd w:id="31"/>
    </w:p>
    <w:p w14:paraId="1D02634D" w14:textId="77777777" w:rsidR="002E1A50" w:rsidRPr="006F4D4C" w:rsidRDefault="002E1A50" w:rsidP="001C3067">
      <w:pPr>
        <w:pStyle w:val="Heading2"/>
      </w:pPr>
      <w:bookmarkStart w:id="32" w:name="_Toc236853444"/>
      <w:r w:rsidRPr="006F4D4C">
        <w:t>Strategic Recommendations</w:t>
      </w:r>
      <w:bookmarkEnd w:id="32"/>
    </w:p>
    <w:p w14:paraId="7FA830EC" w14:textId="77777777" w:rsidR="002E1A50" w:rsidRPr="006F4D4C" w:rsidRDefault="002E1A50" w:rsidP="002E1A50">
      <w:pPr>
        <w:spacing w:after="140"/>
        <w:rPr>
          <w:rFonts w:ascii="Arial" w:hAnsi="Arial" w:cs="Arial"/>
          <w:color w:val="000000" w:themeColor="text1"/>
          <w:sz w:val="22"/>
          <w:szCs w:val="22"/>
        </w:rPr>
      </w:pPr>
      <w:r w:rsidRPr="006F4D4C">
        <w:rPr>
          <w:rFonts w:ascii="Arial" w:hAnsi="Arial" w:cs="Arial"/>
          <w:color w:val="000000" w:themeColor="text1"/>
          <w:sz w:val="22"/>
          <w:szCs w:val="22"/>
        </w:rPr>
        <w:t>The evidence supports a staged growth model: protect the existing revenue base, convert new customers earlier, raise basket value, and scale regional activity only after measures and campaign lift are validated.</w:t>
      </w:r>
    </w:p>
    <w:p w14:paraId="7269D786" w14:textId="1EA38447" w:rsidR="002E1A50" w:rsidRPr="006F4D4C" w:rsidRDefault="002E1A50" w:rsidP="002E1A50">
      <w:pPr>
        <w:pStyle w:val="ListParagraph"/>
        <w:keepNext/>
        <w:numPr>
          <w:ilvl w:val="0"/>
          <w:numId w:val="9"/>
        </w:numPr>
        <w:spacing w:before="100" w:after="40"/>
        <w:rPr>
          <w:rFonts w:ascii="Arial" w:hAnsi="Arial" w:cs="Arial"/>
          <w:color w:val="000000" w:themeColor="text1"/>
          <w:sz w:val="22"/>
          <w:szCs w:val="22"/>
        </w:rPr>
      </w:pPr>
      <w:r w:rsidRPr="006F4D4C">
        <w:rPr>
          <w:rFonts w:ascii="Arial" w:hAnsi="Arial" w:cs="Arial"/>
          <w:b/>
          <w:color w:val="000000" w:themeColor="text1"/>
          <w:sz w:val="22"/>
          <w:szCs w:val="22"/>
        </w:rPr>
        <w:t>Establish one governed AOV and growth scorecard before activation.</w:t>
      </w:r>
    </w:p>
    <w:p w14:paraId="617E3161" w14:textId="1325A8DF" w:rsidR="002E1A50" w:rsidRPr="006F4D4C" w:rsidRDefault="002E1A50" w:rsidP="002E1A50">
      <w:pPr>
        <w:rPr>
          <w:rFonts w:ascii="Arial" w:hAnsi="Arial" w:cs="Arial"/>
          <w:color w:val="000000" w:themeColor="text1"/>
          <w:sz w:val="22"/>
          <w:szCs w:val="22"/>
        </w:rPr>
      </w:pPr>
      <w:r w:rsidRPr="006F4D4C">
        <w:rPr>
          <w:rFonts w:ascii="Arial" w:hAnsi="Arial" w:cs="Arial"/>
          <w:color w:val="000000" w:themeColor="text1"/>
          <w:sz w:val="22"/>
          <w:szCs w:val="22"/>
        </w:rPr>
        <w:t>Approve a metric dictionary for weighted order AOV, customer</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average AOV, regional AOV, target gap, repeat rate, and incremental lift. Reconcile Power BI and forecast measures to these definitions, review forecast versus actual monthly, and do not scale campaigns while material KPI differences remain unexplained.</w:t>
      </w:r>
    </w:p>
    <w:p w14:paraId="41394043" w14:textId="7D9365C9" w:rsidR="002E1A50" w:rsidRPr="006F4D4C" w:rsidRDefault="002E1A50" w:rsidP="002E1A50">
      <w:pPr>
        <w:pStyle w:val="ListParagraph"/>
        <w:keepNext/>
        <w:numPr>
          <w:ilvl w:val="0"/>
          <w:numId w:val="9"/>
        </w:numPr>
        <w:spacing w:before="100" w:after="40"/>
        <w:rPr>
          <w:rFonts w:ascii="Arial" w:hAnsi="Arial" w:cs="Arial"/>
          <w:color w:val="000000" w:themeColor="text1"/>
          <w:sz w:val="22"/>
          <w:szCs w:val="22"/>
        </w:rPr>
      </w:pPr>
      <w:r w:rsidRPr="006F4D4C">
        <w:rPr>
          <w:rFonts w:ascii="Arial" w:hAnsi="Arial" w:cs="Arial"/>
          <w:b/>
          <w:color w:val="000000" w:themeColor="text1"/>
          <w:sz w:val="22"/>
          <w:szCs w:val="22"/>
        </w:rPr>
        <w:t>Defend the core revenue base while reducing concentration risk.</w:t>
      </w:r>
    </w:p>
    <w:p w14:paraId="4C632501" w14:textId="0226ACFD" w:rsidR="002E1A50" w:rsidRPr="006F4D4C" w:rsidRDefault="002E1A50" w:rsidP="002E1A50">
      <w:pPr>
        <w:rPr>
          <w:rFonts w:ascii="Arial" w:hAnsi="Arial" w:cs="Arial"/>
          <w:color w:val="000000" w:themeColor="text1"/>
          <w:sz w:val="22"/>
          <w:szCs w:val="22"/>
        </w:rPr>
      </w:pPr>
      <w:r w:rsidRPr="006F4D4C">
        <w:rPr>
          <w:rFonts w:ascii="Arial" w:hAnsi="Arial" w:cs="Arial"/>
          <w:color w:val="000000" w:themeColor="text1"/>
          <w:sz w:val="22"/>
          <w:szCs w:val="22"/>
        </w:rPr>
        <w:t>Champions contribute 75.1% of completed net sales and repeat customers 95.9%, creating both growth potential and concentration risk. Use replenishment reminders, early access, relevant bundles, and service benefits for eligible adults, while tracking retention, contribution margin, inactivity, and top</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customer revenue share. Avoid greater dependence on blanket discounts or a small buyer group.</w:t>
      </w:r>
    </w:p>
    <w:p w14:paraId="128F68F7" w14:textId="6BD06F27" w:rsidR="002E1A50" w:rsidRPr="006F4D4C" w:rsidRDefault="002E1A50" w:rsidP="002E1A50">
      <w:pPr>
        <w:pStyle w:val="ListParagraph"/>
        <w:keepNext/>
        <w:numPr>
          <w:ilvl w:val="0"/>
          <w:numId w:val="9"/>
        </w:numPr>
        <w:spacing w:before="100" w:after="40"/>
        <w:rPr>
          <w:rFonts w:ascii="Arial" w:hAnsi="Arial" w:cs="Arial"/>
          <w:color w:val="000000" w:themeColor="text1"/>
          <w:sz w:val="22"/>
          <w:szCs w:val="22"/>
        </w:rPr>
      </w:pPr>
      <w:r w:rsidRPr="006F4D4C">
        <w:rPr>
          <w:rFonts w:ascii="Arial" w:hAnsi="Arial" w:cs="Arial"/>
          <w:b/>
          <w:color w:val="000000" w:themeColor="text1"/>
          <w:sz w:val="22"/>
          <w:szCs w:val="22"/>
        </w:rPr>
        <w:t>Build a measurable first-to-second purchase engine.</w:t>
      </w:r>
    </w:p>
    <w:p w14:paraId="22BA77CA" w14:textId="4BFD47AB" w:rsidR="002E1A50" w:rsidRPr="006F4D4C" w:rsidRDefault="002E1A50" w:rsidP="002E1A50">
      <w:pPr>
        <w:rPr>
          <w:rFonts w:ascii="Arial" w:hAnsi="Arial" w:cs="Arial"/>
          <w:color w:val="000000" w:themeColor="text1"/>
          <w:sz w:val="22"/>
          <w:szCs w:val="22"/>
        </w:rPr>
      </w:pPr>
      <w:r w:rsidRPr="006F4D4C">
        <w:rPr>
          <w:rFonts w:ascii="Arial" w:hAnsi="Arial" w:cs="Arial"/>
          <w:color w:val="000000" w:themeColor="text1"/>
          <w:sz w:val="22"/>
          <w:szCs w:val="22"/>
        </w:rPr>
        <w:t>New</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customer orders average $75.50 versus $112.96 for returning customers, making second</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purchase conversion a priority. Test product</w:t>
      </w:r>
      <w:r w:rsidRPr="006F4D4C">
        <w:rPr>
          <w:rFonts w:ascii="Arial" w:hAnsi="Arial" w:cs="Arial"/>
          <w:color w:val="000000" w:themeColor="text1"/>
          <w:sz w:val="22"/>
          <w:szCs w:val="22"/>
        </w:rPr>
        <w:t xml:space="preserve"> r</w:t>
      </w:r>
      <w:r w:rsidRPr="006F4D4C">
        <w:rPr>
          <w:rFonts w:ascii="Arial" w:hAnsi="Arial" w:cs="Arial"/>
          <w:color w:val="000000" w:themeColor="text1"/>
          <w:sz w:val="22"/>
          <w:szCs w:val="22"/>
        </w:rPr>
        <w:t>elevant follow-ups, replenishment timing, complementary recommendations, and service incentives within 30-, 60-, or 90-day windows. Measure incremental conversion, repeat rate, AOV, opt-outs, and contribution margin against a holdout group.</w:t>
      </w:r>
    </w:p>
    <w:p w14:paraId="669252BA" w14:textId="05EA58CA" w:rsidR="002E1A50" w:rsidRPr="006F4D4C" w:rsidRDefault="002E1A50" w:rsidP="002E1A50">
      <w:pPr>
        <w:pStyle w:val="ListParagraph"/>
        <w:keepNext/>
        <w:numPr>
          <w:ilvl w:val="0"/>
          <w:numId w:val="9"/>
        </w:numPr>
        <w:spacing w:before="100" w:after="40"/>
        <w:rPr>
          <w:rFonts w:ascii="Arial" w:hAnsi="Arial" w:cs="Arial"/>
          <w:color w:val="000000" w:themeColor="text1"/>
          <w:sz w:val="22"/>
          <w:szCs w:val="22"/>
        </w:rPr>
      </w:pPr>
      <w:r w:rsidRPr="006F4D4C">
        <w:rPr>
          <w:rFonts w:ascii="Arial" w:hAnsi="Arial" w:cs="Arial"/>
          <w:b/>
          <w:color w:val="000000" w:themeColor="text1"/>
          <w:sz w:val="22"/>
          <w:szCs w:val="22"/>
        </w:rPr>
        <w:t>Close the AOV gap through basket design and a pilot-then-scale regional model.</w:t>
      </w:r>
    </w:p>
    <w:p w14:paraId="167C9B50" w14:textId="7D1D07B1" w:rsidR="002E1A50" w:rsidRPr="006F4D4C" w:rsidRDefault="002E1A50" w:rsidP="002E1A50">
      <w:pPr>
        <w:rPr>
          <w:rFonts w:ascii="Arial" w:hAnsi="Arial" w:cs="Arial"/>
          <w:color w:val="000000" w:themeColor="text1"/>
          <w:sz w:val="22"/>
          <w:szCs w:val="22"/>
        </w:rPr>
      </w:pPr>
      <w:r w:rsidRPr="006F4D4C">
        <w:rPr>
          <w:rFonts w:ascii="Arial" w:hAnsi="Arial" w:cs="Arial"/>
          <w:color w:val="000000" w:themeColor="text1"/>
          <w:sz w:val="22"/>
          <w:szCs w:val="22"/>
        </w:rPr>
        <w:t>AOV is about $17 below the $120 target, with roughly 3.0 items per order and a 13% coupon rate. Test complementary bundles, premium alternatives, and minimum</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spend thresholds instead of broad couponing. Pilot in Nova Scotia and British Columbia, scale proven tactics in Ontario and Quebec, target Alberta and New Brunswick selectively, and monitor small high</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AOV regions until sample sizes are reliable.</w:t>
      </w:r>
    </w:p>
    <w:p w14:paraId="455F1B90" w14:textId="4BC8FD28" w:rsidR="002E1A50" w:rsidRPr="006F4D4C" w:rsidRDefault="002E1A50" w:rsidP="002E1A50">
      <w:pPr>
        <w:pStyle w:val="ListParagraph"/>
        <w:keepNext/>
        <w:numPr>
          <w:ilvl w:val="0"/>
          <w:numId w:val="9"/>
        </w:numPr>
        <w:spacing w:before="100" w:after="40"/>
        <w:rPr>
          <w:rFonts w:ascii="Arial" w:hAnsi="Arial" w:cs="Arial"/>
          <w:color w:val="000000" w:themeColor="text1"/>
          <w:sz w:val="22"/>
          <w:szCs w:val="22"/>
        </w:rPr>
      </w:pPr>
      <w:r w:rsidRPr="006F4D4C">
        <w:rPr>
          <w:rFonts w:ascii="Arial" w:hAnsi="Arial" w:cs="Arial"/>
          <w:b/>
          <w:color w:val="000000" w:themeColor="text1"/>
          <w:sz w:val="22"/>
          <w:szCs w:val="22"/>
        </w:rPr>
        <w:t>Convert the forecast into a profit-based operating plan.</w:t>
      </w:r>
    </w:p>
    <w:p w14:paraId="6CB1326F" w14:textId="07F68568" w:rsidR="002E1A50" w:rsidRPr="006F4D4C" w:rsidRDefault="002E1A50" w:rsidP="002E1A50">
      <w:pPr>
        <w:rPr>
          <w:rFonts w:ascii="Arial" w:hAnsi="Arial" w:cs="Arial"/>
          <w:color w:val="000000" w:themeColor="text1"/>
          <w:sz w:val="22"/>
          <w:szCs w:val="22"/>
        </w:rPr>
      </w:pPr>
      <w:r w:rsidRPr="006F4D4C">
        <w:rPr>
          <w:rFonts w:ascii="Arial" w:hAnsi="Arial" w:cs="Arial"/>
          <w:color w:val="000000" w:themeColor="text1"/>
          <w:sz w:val="22"/>
          <w:szCs w:val="22"/>
        </w:rPr>
        <w:t>The forecast reaches about $8.0 million by 2028 and implies order AOV above $120 from 2027, while the regional customer</w:t>
      </w:r>
      <w:r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average forecast stays below target. Treat this as a planning signal, not a guarantee. Add product cost, discounts, shipping and payment costs, campaign exposure, experiment assignment, consent status, and age eligibility; scale only when incremental contribution, forecast variance, privacy, and responsible-marketing standards are acceptable.</w:t>
      </w:r>
    </w:p>
    <w:p w14:paraId="2D235E3F" w14:textId="77777777" w:rsidR="002E1A50" w:rsidRPr="006F4D4C" w:rsidRDefault="002E1A50" w:rsidP="001C3067">
      <w:pPr>
        <w:pStyle w:val="Heading2"/>
      </w:pPr>
      <w:bookmarkStart w:id="33" w:name="_Toc236853445"/>
      <w:r w:rsidRPr="006F4D4C">
        <w:lastRenderedPageBreak/>
        <w:t>90-Day Action Plan</w:t>
      </w:r>
      <w:bookmarkEnd w:id="33"/>
    </w:p>
    <w:tbl>
      <w:tblPr>
        <w:tblStyle w:val="TableGrid"/>
        <w:tblW w:w="10141" w:type="dxa"/>
        <w:tblLook w:val="04A0" w:firstRow="1" w:lastRow="0" w:firstColumn="1" w:lastColumn="0" w:noHBand="0" w:noVBand="1"/>
      </w:tblPr>
      <w:tblGrid>
        <w:gridCol w:w="1127"/>
        <w:gridCol w:w="1703"/>
        <w:gridCol w:w="4280"/>
        <w:gridCol w:w="3031"/>
      </w:tblGrid>
      <w:tr w:rsidR="002E1A50" w:rsidRPr="00753FE5" w14:paraId="5A9181CC" w14:textId="77777777" w:rsidTr="002E1A50">
        <w:trPr>
          <w:trHeight w:val="332"/>
        </w:trPr>
        <w:tc>
          <w:tcPr>
            <w:tcW w:w="1127" w:type="dxa"/>
            <w:vAlign w:val="center"/>
          </w:tcPr>
          <w:p w14:paraId="3C0F538F" w14:textId="11779C64" w:rsidR="002E1A50" w:rsidRPr="00753FE5" w:rsidRDefault="002E1A50" w:rsidP="002E1A50">
            <w:pPr>
              <w:rPr>
                <w:rFonts w:ascii="Arial" w:hAnsi="Arial" w:cs="Arial"/>
                <w:color w:val="000000" w:themeColor="text1"/>
                <w:sz w:val="20"/>
                <w:szCs w:val="20"/>
              </w:rPr>
            </w:pPr>
            <w:r w:rsidRPr="00753FE5">
              <w:rPr>
                <w:rFonts w:ascii="Arial" w:hAnsi="Arial" w:cs="Arial"/>
                <w:b/>
                <w:color w:val="000000" w:themeColor="text1"/>
                <w:sz w:val="20"/>
                <w:szCs w:val="20"/>
              </w:rPr>
              <w:t>Timing</w:t>
            </w:r>
          </w:p>
        </w:tc>
        <w:tc>
          <w:tcPr>
            <w:tcW w:w="1703" w:type="dxa"/>
            <w:vAlign w:val="center"/>
          </w:tcPr>
          <w:p w14:paraId="43BFCDEA" w14:textId="37A011EF" w:rsidR="002E1A50" w:rsidRPr="00753FE5" w:rsidRDefault="002E1A50" w:rsidP="002E1A50">
            <w:pPr>
              <w:rPr>
                <w:rFonts w:ascii="Arial" w:hAnsi="Arial" w:cs="Arial"/>
                <w:color w:val="000000" w:themeColor="text1"/>
                <w:sz w:val="20"/>
                <w:szCs w:val="20"/>
              </w:rPr>
            </w:pPr>
            <w:r w:rsidRPr="00753FE5">
              <w:rPr>
                <w:rFonts w:ascii="Arial" w:hAnsi="Arial" w:cs="Arial"/>
                <w:b/>
                <w:color w:val="000000" w:themeColor="text1"/>
                <w:sz w:val="20"/>
                <w:szCs w:val="20"/>
              </w:rPr>
              <w:t>Focus</w:t>
            </w:r>
          </w:p>
        </w:tc>
        <w:tc>
          <w:tcPr>
            <w:tcW w:w="4280" w:type="dxa"/>
            <w:vAlign w:val="center"/>
          </w:tcPr>
          <w:p w14:paraId="12955C36" w14:textId="52B0E4BB" w:rsidR="002E1A50" w:rsidRPr="00753FE5" w:rsidRDefault="002E1A50" w:rsidP="002E1A50">
            <w:pPr>
              <w:rPr>
                <w:rFonts w:ascii="Arial" w:hAnsi="Arial" w:cs="Arial"/>
                <w:color w:val="000000" w:themeColor="text1"/>
                <w:sz w:val="20"/>
                <w:szCs w:val="20"/>
              </w:rPr>
            </w:pPr>
            <w:r w:rsidRPr="00753FE5">
              <w:rPr>
                <w:rFonts w:ascii="Arial" w:hAnsi="Arial" w:cs="Arial"/>
                <w:b/>
                <w:color w:val="000000" w:themeColor="text1"/>
                <w:sz w:val="20"/>
                <w:szCs w:val="20"/>
              </w:rPr>
              <w:t>Actions</w:t>
            </w:r>
          </w:p>
        </w:tc>
        <w:tc>
          <w:tcPr>
            <w:tcW w:w="3031" w:type="dxa"/>
            <w:vAlign w:val="center"/>
          </w:tcPr>
          <w:p w14:paraId="16EDB5A2" w14:textId="1DBDF0CC" w:rsidR="002E1A50" w:rsidRPr="00753FE5" w:rsidRDefault="002E1A50" w:rsidP="002E1A50">
            <w:pPr>
              <w:rPr>
                <w:rFonts w:ascii="Arial" w:hAnsi="Arial" w:cs="Arial"/>
                <w:color w:val="000000" w:themeColor="text1"/>
                <w:sz w:val="20"/>
                <w:szCs w:val="20"/>
              </w:rPr>
            </w:pPr>
            <w:r w:rsidRPr="00753FE5">
              <w:rPr>
                <w:rFonts w:ascii="Arial" w:hAnsi="Arial" w:cs="Arial"/>
                <w:b/>
                <w:color w:val="000000" w:themeColor="text1"/>
                <w:sz w:val="20"/>
                <w:szCs w:val="20"/>
              </w:rPr>
              <w:t>Success measures / decision gate</w:t>
            </w:r>
          </w:p>
        </w:tc>
      </w:tr>
      <w:tr w:rsidR="002E1A50" w:rsidRPr="00753FE5" w14:paraId="3770749E" w14:textId="77777777" w:rsidTr="002E1A50">
        <w:trPr>
          <w:trHeight w:val="332"/>
        </w:trPr>
        <w:tc>
          <w:tcPr>
            <w:tcW w:w="1127" w:type="dxa"/>
          </w:tcPr>
          <w:p w14:paraId="6F812F32" w14:textId="34B76DB6"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Days 1-15</w:t>
            </w:r>
          </w:p>
        </w:tc>
        <w:tc>
          <w:tcPr>
            <w:tcW w:w="1703" w:type="dxa"/>
          </w:tcPr>
          <w:p w14:paraId="5872FFCB" w14:textId="12DCC409"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Metric and data governance</w:t>
            </w:r>
          </w:p>
        </w:tc>
        <w:tc>
          <w:tcPr>
            <w:tcW w:w="4280" w:type="dxa"/>
          </w:tcPr>
          <w:p w14:paraId="07A3C8E3" w14:textId="6743BF89"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Approve AOV definitions; reconcile dashboard measures; document lineage, filters, and refresh rules; confirm privacy and compliance ownership</w:t>
            </w:r>
          </w:p>
        </w:tc>
        <w:tc>
          <w:tcPr>
            <w:tcW w:w="3031" w:type="dxa"/>
          </w:tcPr>
          <w:p w14:paraId="0285ED8C" w14:textId="1ACB8BEB"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One signed metric dictionary; no unexplained KPI differences</w:t>
            </w:r>
          </w:p>
        </w:tc>
      </w:tr>
      <w:tr w:rsidR="002E1A50" w:rsidRPr="00753FE5" w14:paraId="7A712A8E" w14:textId="77777777" w:rsidTr="002E1A50">
        <w:trPr>
          <w:trHeight w:val="332"/>
        </w:trPr>
        <w:tc>
          <w:tcPr>
            <w:tcW w:w="1127" w:type="dxa"/>
          </w:tcPr>
          <w:p w14:paraId="75A18016" w14:textId="7BF8C098"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Days 16-45</w:t>
            </w:r>
          </w:p>
        </w:tc>
        <w:tc>
          <w:tcPr>
            <w:tcW w:w="1703" w:type="dxa"/>
          </w:tcPr>
          <w:p w14:paraId="031BEC56" w14:textId="3A5953C7"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Pilot design</w:t>
            </w:r>
          </w:p>
        </w:tc>
        <w:tc>
          <w:tcPr>
            <w:tcW w:w="4280" w:type="dxa"/>
          </w:tcPr>
          <w:p w14:paraId="0BEF9999" w14:textId="4073393E"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 xml:space="preserve">Build adult-eligible holdout and treatment groups; design </w:t>
            </w:r>
            <w:r w:rsidRPr="00753FE5">
              <w:rPr>
                <w:rFonts w:ascii="Arial" w:hAnsi="Arial" w:cs="Arial"/>
                <w:color w:val="000000" w:themeColor="text1"/>
                <w:sz w:val="20"/>
                <w:szCs w:val="20"/>
              </w:rPr>
              <w:t>second purchase</w:t>
            </w:r>
            <w:r w:rsidRPr="00753FE5">
              <w:rPr>
                <w:rFonts w:ascii="Arial" w:hAnsi="Arial" w:cs="Arial"/>
                <w:color w:val="000000" w:themeColor="text1"/>
                <w:sz w:val="20"/>
                <w:szCs w:val="20"/>
              </w:rPr>
              <w:t xml:space="preserve"> and bundle tests in NS/BC; add margin estimates where possible</w:t>
            </w:r>
          </w:p>
        </w:tc>
        <w:tc>
          <w:tcPr>
            <w:tcW w:w="3031" w:type="dxa"/>
          </w:tcPr>
          <w:p w14:paraId="26946589" w14:textId="0DC366A1"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Valid experiment design; baseline balance; approved creative and eligibility rules</w:t>
            </w:r>
          </w:p>
        </w:tc>
      </w:tr>
      <w:tr w:rsidR="002E1A50" w:rsidRPr="00753FE5" w14:paraId="123899CE" w14:textId="77777777" w:rsidTr="002E1A50">
        <w:trPr>
          <w:trHeight w:val="332"/>
        </w:trPr>
        <w:tc>
          <w:tcPr>
            <w:tcW w:w="1127" w:type="dxa"/>
          </w:tcPr>
          <w:p w14:paraId="72DD489A" w14:textId="1101937D"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Days 46-75</w:t>
            </w:r>
          </w:p>
        </w:tc>
        <w:tc>
          <w:tcPr>
            <w:tcW w:w="1703" w:type="dxa"/>
          </w:tcPr>
          <w:p w14:paraId="615074FC" w14:textId="0FEFD037"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Campaign execution</w:t>
            </w:r>
          </w:p>
        </w:tc>
        <w:tc>
          <w:tcPr>
            <w:tcW w:w="4280" w:type="dxa"/>
          </w:tcPr>
          <w:p w14:paraId="2B9E87C0" w14:textId="059ED22C"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Run controlled tests; monitor AOV, order rate, conversion, margin proxy, opt-outs, and data-quality exceptions</w:t>
            </w:r>
          </w:p>
        </w:tc>
        <w:tc>
          <w:tcPr>
            <w:tcW w:w="3031" w:type="dxa"/>
          </w:tcPr>
          <w:p w14:paraId="1CDEB1F2" w14:textId="1C44E111"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Positive incremental lift without compliance or data-quality issues</w:t>
            </w:r>
          </w:p>
        </w:tc>
      </w:tr>
      <w:tr w:rsidR="002E1A50" w:rsidRPr="00753FE5" w14:paraId="3159CA16" w14:textId="77777777" w:rsidTr="002E1A50">
        <w:trPr>
          <w:trHeight w:val="332"/>
        </w:trPr>
        <w:tc>
          <w:tcPr>
            <w:tcW w:w="1127" w:type="dxa"/>
          </w:tcPr>
          <w:p w14:paraId="14091DA6" w14:textId="0483D717"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Days 76-90</w:t>
            </w:r>
          </w:p>
        </w:tc>
        <w:tc>
          <w:tcPr>
            <w:tcW w:w="1703" w:type="dxa"/>
          </w:tcPr>
          <w:p w14:paraId="595F675A" w14:textId="7E137610"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Scale decision</w:t>
            </w:r>
          </w:p>
        </w:tc>
        <w:tc>
          <w:tcPr>
            <w:tcW w:w="4280" w:type="dxa"/>
          </w:tcPr>
          <w:p w14:paraId="2838F475" w14:textId="38F19E4D"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Compare test and holdout outcomes; update forecast; scale only proven mechanics to ON/QC; document lessons learned</w:t>
            </w:r>
          </w:p>
        </w:tc>
        <w:tc>
          <w:tcPr>
            <w:tcW w:w="3031" w:type="dxa"/>
          </w:tcPr>
          <w:p w14:paraId="62AB26C9" w14:textId="197B13F5" w:rsidR="002E1A50" w:rsidRPr="00753FE5" w:rsidRDefault="002E1A50" w:rsidP="002E1A50">
            <w:pPr>
              <w:rPr>
                <w:rFonts w:ascii="Arial" w:hAnsi="Arial" w:cs="Arial"/>
                <w:color w:val="000000" w:themeColor="text1"/>
                <w:sz w:val="20"/>
                <w:szCs w:val="20"/>
              </w:rPr>
            </w:pPr>
            <w:r w:rsidRPr="00753FE5">
              <w:rPr>
                <w:rFonts w:ascii="Arial" w:hAnsi="Arial" w:cs="Arial"/>
                <w:color w:val="000000" w:themeColor="text1"/>
                <w:sz w:val="20"/>
                <w:szCs w:val="20"/>
              </w:rPr>
              <w:t>Approved scale/no-scale decision based on incremental results</w:t>
            </w:r>
          </w:p>
        </w:tc>
      </w:tr>
    </w:tbl>
    <w:p w14:paraId="5A2DB8D9" w14:textId="77777777" w:rsidR="002E1A50" w:rsidRPr="006F4D4C" w:rsidRDefault="002E1A50" w:rsidP="001C3067">
      <w:pPr>
        <w:pStyle w:val="Heading3"/>
      </w:pPr>
      <w:bookmarkStart w:id="34" w:name="_Toc236853446"/>
      <w:r w:rsidRPr="006F4D4C">
        <w:t>Expected Management Outcomes</w:t>
      </w:r>
      <w:bookmarkEnd w:id="34"/>
    </w:p>
    <w:p w14:paraId="6A763C65" w14:textId="77777777" w:rsidR="002E1A50" w:rsidRPr="006F4D4C" w:rsidRDefault="002E1A50" w:rsidP="002E1A50">
      <w:pPr>
        <w:pStyle w:val="ListBullet"/>
        <w:numPr>
          <w:ilvl w:val="0"/>
          <w:numId w:val="11"/>
        </w:numPr>
        <w:spacing w:after="0"/>
        <w:rPr>
          <w:rFonts w:cs="Arial"/>
          <w:color w:val="000000" w:themeColor="text1"/>
          <w:sz w:val="22"/>
        </w:rPr>
      </w:pPr>
      <w:r w:rsidRPr="006F4D4C">
        <w:rPr>
          <w:rFonts w:cs="Arial"/>
          <w:color w:val="000000" w:themeColor="text1"/>
          <w:sz w:val="22"/>
        </w:rPr>
        <w:t>A single governed AOV and growth scorecard that reconciles Power BI, Python, and the forecast.</w:t>
      </w:r>
    </w:p>
    <w:p w14:paraId="5E98125C" w14:textId="77777777" w:rsidR="002E1A50" w:rsidRPr="006F4D4C" w:rsidRDefault="002E1A50" w:rsidP="002E1A50">
      <w:pPr>
        <w:pStyle w:val="ListBullet"/>
        <w:numPr>
          <w:ilvl w:val="0"/>
          <w:numId w:val="11"/>
        </w:numPr>
        <w:spacing w:after="0"/>
        <w:rPr>
          <w:rFonts w:cs="Arial"/>
          <w:color w:val="000000" w:themeColor="text1"/>
          <w:sz w:val="22"/>
        </w:rPr>
      </w:pPr>
      <w:r w:rsidRPr="006F4D4C">
        <w:rPr>
          <w:rFonts w:cs="Arial"/>
          <w:color w:val="000000" w:themeColor="text1"/>
          <w:sz w:val="22"/>
        </w:rPr>
        <w:t>Lower revenue-concentration risk through retention and first-to-second purchase conversion.</w:t>
      </w:r>
    </w:p>
    <w:p w14:paraId="3C87CBB1" w14:textId="77777777" w:rsidR="002E1A50" w:rsidRPr="006F4D4C" w:rsidRDefault="002E1A50" w:rsidP="002E1A50">
      <w:pPr>
        <w:pStyle w:val="ListBullet"/>
        <w:numPr>
          <w:ilvl w:val="0"/>
          <w:numId w:val="11"/>
        </w:numPr>
        <w:spacing w:after="0"/>
        <w:rPr>
          <w:rFonts w:cs="Arial"/>
          <w:color w:val="000000" w:themeColor="text1"/>
          <w:sz w:val="22"/>
        </w:rPr>
      </w:pPr>
      <w:r w:rsidRPr="006F4D4C">
        <w:rPr>
          <w:rFonts w:cs="Arial"/>
          <w:color w:val="000000" w:themeColor="text1"/>
          <w:sz w:val="22"/>
        </w:rPr>
        <w:t>Higher basket value from tested bundles and thresholds rather than increased dependence on blanket couponing.</w:t>
      </w:r>
    </w:p>
    <w:p w14:paraId="355675C7" w14:textId="4D5CA791" w:rsidR="009D4211" w:rsidRPr="006F4D4C" w:rsidRDefault="002E1A50" w:rsidP="009D4211">
      <w:pPr>
        <w:pStyle w:val="ListBullet"/>
        <w:numPr>
          <w:ilvl w:val="0"/>
          <w:numId w:val="11"/>
        </w:numPr>
        <w:spacing w:after="0"/>
        <w:rPr>
          <w:rFonts w:cs="Arial"/>
          <w:color w:val="000000" w:themeColor="text1"/>
          <w:sz w:val="22"/>
        </w:rPr>
      </w:pPr>
      <w:r w:rsidRPr="006F4D4C">
        <w:rPr>
          <w:rFonts w:cs="Arial"/>
          <w:color w:val="000000" w:themeColor="text1"/>
          <w:sz w:val="22"/>
        </w:rPr>
        <w:t>Regional investment decisions based on both reach and verified incremental lift before ON/QC scale-up.</w:t>
      </w:r>
    </w:p>
    <w:p w14:paraId="6D883DCB" w14:textId="693BC737" w:rsidR="002E1A50" w:rsidRPr="006F4D4C" w:rsidRDefault="002E1A50" w:rsidP="002E1A50">
      <w:pPr>
        <w:pStyle w:val="ListBullet"/>
        <w:numPr>
          <w:ilvl w:val="0"/>
          <w:numId w:val="11"/>
        </w:numPr>
        <w:spacing w:after="0"/>
        <w:rPr>
          <w:rFonts w:cs="Arial"/>
          <w:color w:val="000000" w:themeColor="text1"/>
          <w:sz w:val="22"/>
        </w:rPr>
      </w:pPr>
      <w:r w:rsidRPr="006F4D4C">
        <w:rPr>
          <w:rFonts w:cs="Arial"/>
          <w:color w:val="000000" w:themeColor="text1"/>
          <w:sz w:val="22"/>
        </w:rPr>
        <w:t>Profit-aware, privacy-safe, age-eligible campaign execution with an audit trail.</w:t>
      </w:r>
    </w:p>
    <w:p w14:paraId="1EC10E39" w14:textId="77777777" w:rsidR="002E1A50" w:rsidRPr="006F4D4C" w:rsidRDefault="002E1A50" w:rsidP="002E1A50">
      <w:pPr>
        <w:pStyle w:val="ListBullet"/>
        <w:numPr>
          <w:ilvl w:val="0"/>
          <w:numId w:val="0"/>
        </w:numPr>
        <w:spacing w:after="0"/>
        <w:ind w:left="432"/>
        <w:rPr>
          <w:rFonts w:cs="Arial"/>
          <w:color w:val="000000" w:themeColor="text1"/>
          <w:sz w:val="22"/>
        </w:rPr>
      </w:pPr>
    </w:p>
    <w:p w14:paraId="5DEE0ABE" w14:textId="05677633" w:rsidR="002E1A50" w:rsidRPr="006F4D4C" w:rsidRDefault="002E1A50" w:rsidP="001C3067">
      <w:pPr>
        <w:pStyle w:val="Heading2"/>
      </w:pPr>
      <w:bookmarkStart w:id="35" w:name="_Toc236853447"/>
      <w:r w:rsidRPr="006F4D4C">
        <w:t>Conclusion</w:t>
      </w:r>
      <w:bookmarkEnd w:id="35"/>
    </w:p>
    <w:p w14:paraId="71230601" w14:textId="1E1670B1" w:rsidR="002E1A50" w:rsidRPr="006F4D4C" w:rsidRDefault="002E1A50" w:rsidP="002E1A50">
      <w:pPr>
        <w:spacing w:after="0"/>
        <w:rPr>
          <w:rFonts w:ascii="Arial" w:hAnsi="Arial" w:cs="Arial"/>
          <w:bCs/>
          <w:color w:val="000000" w:themeColor="text1"/>
          <w:sz w:val="22"/>
          <w:szCs w:val="22"/>
        </w:rPr>
      </w:pPr>
      <w:r w:rsidRPr="006F4D4C">
        <w:rPr>
          <w:rFonts w:ascii="Arial" w:hAnsi="Arial" w:cs="Arial"/>
          <w:bCs/>
          <w:color w:val="000000" w:themeColor="text1"/>
          <w:sz w:val="22"/>
          <w:szCs w:val="22"/>
        </w:rPr>
        <w:t>Canada Vapes has a value-capture opportunity, not a demand problem. Sales grew at a 27.9% compound annual rate and the forecast approaches $8.0 million by 2028, but 75.1% of completed net sales comes from champions, 95.9% from repeat customers, and AOV remains below $120 under several measures. The company should protect high-value customers, improve first-to-second purchase conversion, raise basket value, and scale regional tactics only after four gates are met: reconciled AOV definitions, positive holdout-tested lift, acceptable contribution margin, and verified privacy and age eligibility.</w:t>
      </w:r>
    </w:p>
    <w:p w14:paraId="434CA43C" w14:textId="77777777" w:rsidR="002E1A50" w:rsidRPr="006F4D4C" w:rsidRDefault="002E1A50">
      <w:pPr>
        <w:rPr>
          <w:rFonts w:ascii="Arial" w:hAnsi="Arial" w:cs="Arial"/>
          <w:sz w:val="22"/>
          <w:szCs w:val="22"/>
        </w:rPr>
      </w:pPr>
    </w:p>
    <w:p w14:paraId="3D9B3E5F" w14:textId="09522D4C" w:rsidR="00C32A54" w:rsidRPr="006F4D4C" w:rsidRDefault="00C32A54" w:rsidP="001C3067">
      <w:pPr>
        <w:pStyle w:val="Heading1"/>
      </w:pPr>
      <w:bookmarkStart w:id="36" w:name="_Toc236853448"/>
      <w:r w:rsidRPr="006F4D4C">
        <w:lastRenderedPageBreak/>
        <w:t>APPENDICES</w:t>
      </w:r>
      <w:bookmarkEnd w:id="36"/>
    </w:p>
    <w:p w14:paraId="5941DF23" w14:textId="478F4606" w:rsidR="009D4211" w:rsidRPr="006F4D4C" w:rsidRDefault="009D4211" w:rsidP="001C3067">
      <w:pPr>
        <w:pStyle w:val="Heading2"/>
      </w:pPr>
      <w:bookmarkStart w:id="37" w:name="_Toc236853449"/>
      <w:r w:rsidRPr="006F4D4C">
        <w:t>Appendix A: Metric Definition and Reconciliation</w:t>
      </w:r>
      <w:bookmarkEnd w:id="37"/>
    </w:p>
    <w:p w14:paraId="40A1232C" w14:textId="77777777" w:rsidR="009D4211" w:rsidRPr="006F4D4C" w:rsidRDefault="009D4211" w:rsidP="009D4211">
      <w:pPr>
        <w:rPr>
          <w:rFonts w:ascii="Arial" w:hAnsi="Arial" w:cs="Arial"/>
          <w:color w:val="000000" w:themeColor="text1"/>
          <w:sz w:val="22"/>
          <w:szCs w:val="22"/>
        </w:rPr>
      </w:pPr>
      <w:r w:rsidRPr="006F4D4C">
        <w:rPr>
          <w:rFonts w:ascii="Arial" w:hAnsi="Arial" w:cs="Arial"/>
          <w:color w:val="000000" w:themeColor="text1"/>
          <w:sz w:val="22"/>
          <w:szCs w:val="22"/>
        </w:rPr>
        <w:t>This appendix defines the calculation rules to use consistently in Power BI, Python, and the presentation. Each metric name must state its analytical grain.</w:t>
      </w:r>
    </w:p>
    <w:tbl>
      <w:tblPr>
        <w:tblStyle w:val="TableGrid"/>
        <w:tblW w:w="10568" w:type="dxa"/>
        <w:tblLook w:val="04A0" w:firstRow="1" w:lastRow="0" w:firstColumn="1" w:lastColumn="0" w:noHBand="0" w:noVBand="1"/>
      </w:tblPr>
      <w:tblGrid>
        <w:gridCol w:w="2642"/>
        <w:gridCol w:w="3427"/>
        <w:gridCol w:w="1857"/>
        <w:gridCol w:w="2642"/>
      </w:tblGrid>
      <w:tr w:rsidR="009D4211" w:rsidRPr="001C3067" w14:paraId="6D6F9CA5" w14:textId="77777777" w:rsidTr="001C3067">
        <w:trPr>
          <w:trHeight w:val="268"/>
        </w:trPr>
        <w:tc>
          <w:tcPr>
            <w:tcW w:w="2642" w:type="dxa"/>
            <w:vAlign w:val="center"/>
          </w:tcPr>
          <w:p w14:paraId="1D80C6F0" w14:textId="6878FEE2" w:rsidR="009D4211" w:rsidRPr="001C3067" w:rsidRDefault="009D4211" w:rsidP="009D4211">
            <w:pPr>
              <w:rPr>
                <w:rFonts w:ascii="Arial" w:hAnsi="Arial" w:cs="Arial"/>
                <w:sz w:val="20"/>
                <w:szCs w:val="20"/>
              </w:rPr>
            </w:pPr>
            <w:r w:rsidRPr="001C3067">
              <w:rPr>
                <w:rFonts w:ascii="Arial" w:hAnsi="Arial" w:cs="Arial"/>
                <w:b/>
                <w:color w:val="000000" w:themeColor="text1"/>
                <w:sz w:val="20"/>
                <w:szCs w:val="20"/>
              </w:rPr>
              <w:t>Metric</w:t>
            </w:r>
          </w:p>
        </w:tc>
        <w:tc>
          <w:tcPr>
            <w:tcW w:w="3427" w:type="dxa"/>
            <w:vAlign w:val="center"/>
          </w:tcPr>
          <w:p w14:paraId="3EC304E4" w14:textId="70AC703B" w:rsidR="009D4211" w:rsidRPr="001C3067" w:rsidRDefault="009D4211" w:rsidP="009D4211">
            <w:pPr>
              <w:rPr>
                <w:rFonts w:ascii="Arial" w:hAnsi="Arial" w:cs="Arial"/>
                <w:sz w:val="20"/>
                <w:szCs w:val="20"/>
              </w:rPr>
            </w:pPr>
            <w:r w:rsidRPr="001C3067">
              <w:rPr>
                <w:rFonts w:ascii="Arial" w:hAnsi="Arial" w:cs="Arial"/>
                <w:b/>
                <w:color w:val="000000" w:themeColor="text1"/>
                <w:sz w:val="20"/>
                <w:szCs w:val="20"/>
              </w:rPr>
              <w:t>Recommended definition</w:t>
            </w:r>
          </w:p>
        </w:tc>
        <w:tc>
          <w:tcPr>
            <w:tcW w:w="1857" w:type="dxa"/>
            <w:vAlign w:val="center"/>
          </w:tcPr>
          <w:p w14:paraId="7215FEF0" w14:textId="2695A86C" w:rsidR="009D4211" w:rsidRPr="001C3067" w:rsidRDefault="009D4211" w:rsidP="009D4211">
            <w:pPr>
              <w:rPr>
                <w:rFonts w:ascii="Arial" w:hAnsi="Arial" w:cs="Arial"/>
                <w:sz w:val="20"/>
                <w:szCs w:val="20"/>
              </w:rPr>
            </w:pPr>
            <w:r w:rsidRPr="001C3067">
              <w:rPr>
                <w:rFonts w:ascii="Arial" w:hAnsi="Arial" w:cs="Arial"/>
                <w:b/>
                <w:color w:val="000000" w:themeColor="text1"/>
                <w:sz w:val="20"/>
                <w:szCs w:val="20"/>
              </w:rPr>
              <w:t>Primary use</w:t>
            </w:r>
          </w:p>
        </w:tc>
        <w:tc>
          <w:tcPr>
            <w:tcW w:w="2642" w:type="dxa"/>
            <w:vAlign w:val="center"/>
          </w:tcPr>
          <w:p w14:paraId="523F8BAB" w14:textId="69DCDE3F" w:rsidR="009D4211" w:rsidRPr="001C3067" w:rsidRDefault="009D4211" w:rsidP="009D4211">
            <w:pPr>
              <w:rPr>
                <w:rFonts w:ascii="Arial" w:hAnsi="Arial" w:cs="Arial"/>
                <w:sz w:val="20"/>
                <w:szCs w:val="20"/>
              </w:rPr>
            </w:pPr>
            <w:r w:rsidRPr="001C3067">
              <w:rPr>
                <w:rFonts w:ascii="Arial" w:hAnsi="Arial" w:cs="Arial"/>
                <w:b/>
                <w:color w:val="000000" w:themeColor="text1"/>
                <w:sz w:val="20"/>
                <w:szCs w:val="20"/>
              </w:rPr>
              <w:t>Common risk</w:t>
            </w:r>
          </w:p>
        </w:tc>
      </w:tr>
      <w:tr w:rsidR="009D4211" w:rsidRPr="001C3067" w14:paraId="44BB1305" w14:textId="77777777" w:rsidTr="001C3067">
        <w:trPr>
          <w:trHeight w:val="268"/>
        </w:trPr>
        <w:tc>
          <w:tcPr>
            <w:tcW w:w="2642" w:type="dxa"/>
          </w:tcPr>
          <w:p w14:paraId="2AA74B73" w14:textId="04D71F36"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Completed net sales</w:t>
            </w:r>
          </w:p>
        </w:tc>
        <w:tc>
          <w:tcPr>
            <w:tcW w:w="3427" w:type="dxa"/>
          </w:tcPr>
          <w:p w14:paraId="30166A20" w14:textId="071F2554"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 xml:space="preserve">Sum of </w:t>
            </w:r>
            <w:r w:rsidRPr="001C3067">
              <w:rPr>
                <w:rFonts w:ascii="Arial" w:hAnsi="Arial" w:cs="Arial"/>
                <w:color w:val="000000" w:themeColor="text1"/>
                <w:sz w:val="20"/>
                <w:szCs w:val="20"/>
              </w:rPr>
              <w:t>net sales</w:t>
            </w:r>
            <w:r w:rsidRPr="001C3067">
              <w:rPr>
                <w:rFonts w:ascii="Arial" w:hAnsi="Arial" w:cs="Arial"/>
                <w:color w:val="000000" w:themeColor="text1"/>
                <w:sz w:val="20"/>
                <w:szCs w:val="20"/>
              </w:rPr>
              <w:t xml:space="preserve"> for approved completed statuses with </w:t>
            </w:r>
            <w:r w:rsidRPr="001C3067">
              <w:rPr>
                <w:rFonts w:ascii="Arial" w:hAnsi="Arial" w:cs="Arial"/>
                <w:color w:val="000000" w:themeColor="text1"/>
                <w:sz w:val="20"/>
                <w:szCs w:val="20"/>
              </w:rPr>
              <w:t>net sales</w:t>
            </w:r>
            <w:r w:rsidRPr="001C3067">
              <w:rPr>
                <w:rFonts w:ascii="Arial" w:hAnsi="Arial" w:cs="Arial"/>
                <w:color w:val="000000" w:themeColor="text1"/>
                <w:sz w:val="20"/>
                <w:szCs w:val="20"/>
              </w:rPr>
              <w:t xml:space="preserve"> &gt; 0</w:t>
            </w:r>
          </w:p>
        </w:tc>
        <w:tc>
          <w:tcPr>
            <w:tcW w:w="1857" w:type="dxa"/>
          </w:tcPr>
          <w:p w14:paraId="12C7322A" w14:textId="566AFCEB"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Revenue performance and forecast base</w:t>
            </w:r>
          </w:p>
        </w:tc>
        <w:tc>
          <w:tcPr>
            <w:tcW w:w="2642" w:type="dxa"/>
          </w:tcPr>
          <w:p w14:paraId="6384A5EE" w14:textId="5946F6DE"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Including refunds, fraud, reshipments, or non-positive records</w:t>
            </w:r>
          </w:p>
        </w:tc>
      </w:tr>
      <w:tr w:rsidR="009D4211" w:rsidRPr="001C3067" w14:paraId="3630EDA2" w14:textId="77777777" w:rsidTr="001C3067">
        <w:trPr>
          <w:trHeight w:val="268"/>
        </w:trPr>
        <w:tc>
          <w:tcPr>
            <w:tcW w:w="2642" w:type="dxa"/>
          </w:tcPr>
          <w:p w14:paraId="5EE39A59" w14:textId="4BD51ECD"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Completed orders</w:t>
            </w:r>
          </w:p>
        </w:tc>
        <w:tc>
          <w:tcPr>
            <w:tcW w:w="3427" w:type="dxa"/>
          </w:tcPr>
          <w:p w14:paraId="71FADC3F" w14:textId="64F7B434"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Distinct completed order</w:t>
            </w:r>
            <w:r w:rsidRPr="001C3067">
              <w:rPr>
                <w:rFonts w:ascii="Arial" w:hAnsi="Arial" w:cs="Arial"/>
                <w:color w:val="000000" w:themeColor="text1"/>
                <w:sz w:val="20"/>
                <w:szCs w:val="20"/>
              </w:rPr>
              <w:t>-</w:t>
            </w:r>
            <w:r w:rsidRPr="001C3067">
              <w:rPr>
                <w:rFonts w:ascii="Arial" w:hAnsi="Arial" w:cs="Arial"/>
                <w:color w:val="000000" w:themeColor="text1"/>
                <w:sz w:val="20"/>
                <w:szCs w:val="20"/>
              </w:rPr>
              <w:t>id values after the same status and value filters</w:t>
            </w:r>
          </w:p>
        </w:tc>
        <w:tc>
          <w:tcPr>
            <w:tcW w:w="1857" w:type="dxa"/>
          </w:tcPr>
          <w:p w14:paraId="5F94E026" w14:textId="61759A5C"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Order volume and AOV denominator</w:t>
            </w:r>
          </w:p>
        </w:tc>
        <w:tc>
          <w:tcPr>
            <w:tcW w:w="2642" w:type="dxa"/>
          </w:tcPr>
          <w:p w14:paraId="5E157C50" w14:textId="127996A4"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Using row count when orders can repeat</w:t>
            </w:r>
          </w:p>
        </w:tc>
      </w:tr>
      <w:tr w:rsidR="009D4211" w:rsidRPr="001C3067" w14:paraId="77AD59A5" w14:textId="77777777" w:rsidTr="001C3067">
        <w:trPr>
          <w:trHeight w:val="268"/>
        </w:trPr>
        <w:tc>
          <w:tcPr>
            <w:tcW w:w="2642" w:type="dxa"/>
          </w:tcPr>
          <w:p w14:paraId="47F9EE30" w14:textId="4A0B838D"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Weighted order AOV</w:t>
            </w:r>
          </w:p>
        </w:tc>
        <w:tc>
          <w:tcPr>
            <w:tcW w:w="3427" w:type="dxa"/>
          </w:tcPr>
          <w:p w14:paraId="1AF8E8C8" w14:textId="18DF6D65"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Completed net sales ÷ completed orders</w:t>
            </w:r>
          </w:p>
        </w:tc>
        <w:tc>
          <w:tcPr>
            <w:tcW w:w="1857" w:type="dxa"/>
          </w:tcPr>
          <w:p w14:paraId="47ADE044" w14:textId="77AFB733"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Commercial basket value</w:t>
            </w:r>
          </w:p>
        </w:tc>
        <w:tc>
          <w:tcPr>
            <w:tcW w:w="2642" w:type="dxa"/>
          </w:tcPr>
          <w:p w14:paraId="632700CB" w14:textId="5D94CBF2"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Confusing it with average customer AOV</w:t>
            </w:r>
          </w:p>
        </w:tc>
      </w:tr>
      <w:tr w:rsidR="009D4211" w:rsidRPr="001C3067" w14:paraId="6769F042" w14:textId="77777777" w:rsidTr="001C3067">
        <w:trPr>
          <w:trHeight w:val="268"/>
        </w:trPr>
        <w:tc>
          <w:tcPr>
            <w:tcW w:w="2642" w:type="dxa"/>
          </w:tcPr>
          <w:p w14:paraId="05D9481F" w14:textId="36C29356"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Customer-average AOV</w:t>
            </w:r>
          </w:p>
        </w:tc>
        <w:tc>
          <w:tcPr>
            <w:tcW w:w="3427" w:type="dxa"/>
          </w:tcPr>
          <w:p w14:paraId="58B9638C" w14:textId="4E7474DD"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Average of each customer’s order-level AOV</w:t>
            </w:r>
          </w:p>
        </w:tc>
        <w:tc>
          <w:tcPr>
            <w:tcW w:w="1857" w:type="dxa"/>
          </w:tcPr>
          <w:p w14:paraId="2625CE0C" w14:textId="2B14226E"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Customer behaviour and segmentation</w:t>
            </w:r>
          </w:p>
        </w:tc>
        <w:tc>
          <w:tcPr>
            <w:tcW w:w="2642" w:type="dxa"/>
          </w:tcPr>
          <w:p w14:paraId="0EA66FE7" w14:textId="3060EFDC"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Allowing one-order customers and high-value outliers to change interpretation</w:t>
            </w:r>
          </w:p>
        </w:tc>
      </w:tr>
      <w:tr w:rsidR="009D4211" w:rsidRPr="001C3067" w14:paraId="4F8326ED" w14:textId="77777777" w:rsidTr="001C3067">
        <w:trPr>
          <w:trHeight w:val="268"/>
        </w:trPr>
        <w:tc>
          <w:tcPr>
            <w:tcW w:w="2642" w:type="dxa"/>
          </w:tcPr>
          <w:p w14:paraId="3F8C4A35" w14:textId="619B1F49"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Repeat customer rate</w:t>
            </w:r>
          </w:p>
        </w:tc>
        <w:tc>
          <w:tcPr>
            <w:tcW w:w="3427" w:type="dxa"/>
          </w:tcPr>
          <w:p w14:paraId="6235F0B0" w14:textId="64B42377"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Customers with more than one completed order ÷ identifiable customers</w:t>
            </w:r>
          </w:p>
        </w:tc>
        <w:tc>
          <w:tcPr>
            <w:tcW w:w="1857" w:type="dxa"/>
          </w:tcPr>
          <w:p w14:paraId="26B93147" w14:textId="3E799606"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Retention base</w:t>
            </w:r>
          </w:p>
        </w:tc>
        <w:tc>
          <w:tcPr>
            <w:tcW w:w="2642" w:type="dxa"/>
          </w:tcPr>
          <w:p w14:paraId="35316E80" w14:textId="758BB227"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 xml:space="preserve">Using </w:t>
            </w:r>
            <w:r w:rsidRPr="001C3067">
              <w:rPr>
                <w:rFonts w:ascii="Arial" w:hAnsi="Arial" w:cs="Arial"/>
                <w:color w:val="000000" w:themeColor="text1"/>
                <w:sz w:val="20"/>
                <w:szCs w:val="20"/>
              </w:rPr>
              <w:t>customer type</w:t>
            </w:r>
            <w:r w:rsidRPr="001C3067">
              <w:rPr>
                <w:rFonts w:ascii="Arial" w:hAnsi="Arial" w:cs="Arial"/>
                <w:color w:val="000000" w:themeColor="text1"/>
                <w:sz w:val="20"/>
                <w:szCs w:val="20"/>
              </w:rPr>
              <w:t xml:space="preserve"> labels instead of observed completed-order history</w:t>
            </w:r>
          </w:p>
        </w:tc>
      </w:tr>
      <w:tr w:rsidR="009D4211" w:rsidRPr="001C3067" w14:paraId="46F02CD5" w14:textId="77777777" w:rsidTr="001C3067">
        <w:trPr>
          <w:trHeight w:val="268"/>
        </w:trPr>
        <w:tc>
          <w:tcPr>
            <w:tcW w:w="2642" w:type="dxa"/>
          </w:tcPr>
          <w:p w14:paraId="3731B040" w14:textId="170C1395"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Addressable AOV gap</w:t>
            </w:r>
          </w:p>
        </w:tc>
        <w:tc>
          <w:tcPr>
            <w:tcW w:w="3427" w:type="dxa"/>
          </w:tcPr>
          <w:p w14:paraId="4A8C1BE7" w14:textId="6DC17C9F"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Eligible below-target population × defined target gap, with time window and grain stated</w:t>
            </w:r>
          </w:p>
        </w:tc>
        <w:tc>
          <w:tcPr>
            <w:tcW w:w="1857" w:type="dxa"/>
          </w:tcPr>
          <w:p w14:paraId="199476CB" w14:textId="597D49A2"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Scenario sizing</w:t>
            </w:r>
          </w:p>
        </w:tc>
        <w:tc>
          <w:tcPr>
            <w:tcW w:w="2642" w:type="dxa"/>
          </w:tcPr>
          <w:p w14:paraId="08180221" w14:textId="25FED788"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Presenting historical equivalent as forecast or profit</w:t>
            </w:r>
          </w:p>
        </w:tc>
      </w:tr>
      <w:tr w:rsidR="009D4211" w:rsidRPr="001C3067" w14:paraId="73FEF189" w14:textId="77777777" w:rsidTr="001C3067">
        <w:trPr>
          <w:trHeight w:val="268"/>
        </w:trPr>
        <w:tc>
          <w:tcPr>
            <w:tcW w:w="2642" w:type="dxa"/>
          </w:tcPr>
          <w:p w14:paraId="1C74BB15" w14:textId="4557E95C"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Incremental lift</w:t>
            </w:r>
          </w:p>
        </w:tc>
        <w:tc>
          <w:tcPr>
            <w:tcW w:w="3427" w:type="dxa"/>
          </w:tcPr>
          <w:p w14:paraId="24CE68F8" w14:textId="32D6CB49"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Treatment outcome minus comparable holdout outcome</w:t>
            </w:r>
          </w:p>
        </w:tc>
        <w:tc>
          <w:tcPr>
            <w:tcW w:w="1857" w:type="dxa"/>
          </w:tcPr>
          <w:p w14:paraId="1B4D4247" w14:textId="367EA372"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Campaign effectiveness</w:t>
            </w:r>
          </w:p>
        </w:tc>
        <w:tc>
          <w:tcPr>
            <w:tcW w:w="2642" w:type="dxa"/>
          </w:tcPr>
          <w:p w14:paraId="22EB97CC" w14:textId="3C9F3713" w:rsidR="009D4211" w:rsidRPr="001C3067" w:rsidRDefault="009D4211" w:rsidP="009D4211">
            <w:pPr>
              <w:rPr>
                <w:rFonts w:ascii="Arial" w:hAnsi="Arial" w:cs="Arial"/>
                <w:sz w:val="20"/>
                <w:szCs w:val="20"/>
              </w:rPr>
            </w:pPr>
            <w:r w:rsidRPr="001C3067">
              <w:rPr>
                <w:rFonts w:ascii="Arial" w:hAnsi="Arial" w:cs="Arial"/>
                <w:color w:val="000000" w:themeColor="text1"/>
                <w:sz w:val="20"/>
                <w:szCs w:val="20"/>
              </w:rPr>
              <w:t>Attributing all post-campaign sales to the campaign</w:t>
            </w:r>
          </w:p>
        </w:tc>
      </w:tr>
    </w:tbl>
    <w:p w14:paraId="4769CB18" w14:textId="77777777" w:rsidR="009D4211" w:rsidRPr="006F4D4C" w:rsidRDefault="009D4211">
      <w:pPr>
        <w:rPr>
          <w:rFonts w:ascii="Arial" w:hAnsi="Arial" w:cs="Arial"/>
          <w:sz w:val="22"/>
          <w:szCs w:val="22"/>
        </w:rPr>
      </w:pPr>
    </w:p>
    <w:p w14:paraId="5E94AD03" w14:textId="08BE4494" w:rsidR="009D4211" w:rsidRPr="006F4D4C" w:rsidRDefault="009D4211">
      <w:pPr>
        <w:rPr>
          <w:rFonts w:ascii="Arial" w:hAnsi="Arial" w:cs="Arial"/>
          <w:sz w:val="22"/>
          <w:szCs w:val="22"/>
        </w:rPr>
      </w:pPr>
      <w:r w:rsidRPr="006F4D4C">
        <w:rPr>
          <w:rFonts w:ascii="Arial" w:hAnsi="Arial" w:cs="Arial"/>
          <w:noProof/>
          <w:color w:val="000000" w:themeColor="text1"/>
          <w:sz w:val="22"/>
          <w:szCs w:val="22"/>
        </w:rPr>
        <w:drawing>
          <wp:inline distT="0" distB="0" distL="0" distR="0" wp14:anchorId="0659983E" wp14:editId="681DB078">
            <wp:extent cx="4955059" cy="2211705"/>
            <wp:effectExtent l="0" t="0" r="0" b="0"/>
            <wp:docPr id="6" name="Picture 6" descr="Line chart of actual completed net sales from 2021 to 2025 and forecast net sales from 2026 to 2028, with annual values labeled." title="Python Validation of Actual and Forecast Net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_actual_forecast.png"/>
                    <pic:cNvPicPr/>
                  </pic:nvPicPr>
                  <pic:blipFill>
                    <a:blip r:embed="rId13"/>
                    <a:stretch>
                      <a:fillRect/>
                    </a:stretch>
                  </pic:blipFill>
                  <pic:spPr>
                    <a:xfrm>
                      <a:off x="0" y="0"/>
                      <a:ext cx="5147629" cy="2297659"/>
                    </a:xfrm>
                    <a:prstGeom prst="rect">
                      <a:avLst/>
                    </a:prstGeom>
                  </pic:spPr>
                </pic:pic>
              </a:graphicData>
            </a:graphic>
          </wp:inline>
        </w:drawing>
      </w:r>
    </w:p>
    <w:p w14:paraId="713DFBE5" w14:textId="77777777" w:rsidR="009D4211" w:rsidRPr="006F4D4C" w:rsidRDefault="009D4211" w:rsidP="001C3067">
      <w:pPr>
        <w:pStyle w:val="Heading3"/>
      </w:pPr>
      <w:bookmarkStart w:id="38" w:name="_Toc236853450"/>
      <w:r w:rsidRPr="006F4D4C">
        <w:rPr>
          <w:b/>
        </w:rPr>
        <w:t>Figure 6</w:t>
      </w:r>
      <w:r w:rsidRPr="006F4D4C">
        <w:t>: Python Validation of Actual and Forecast Net Sales</w:t>
      </w:r>
      <w:bookmarkEnd w:id="38"/>
    </w:p>
    <w:p w14:paraId="6A7A4F38" w14:textId="09B73FD3" w:rsidR="009D4211" w:rsidRPr="006F4D4C" w:rsidRDefault="009D4211">
      <w:pPr>
        <w:rPr>
          <w:rFonts w:ascii="Arial" w:hAnsi="Arial" w:cs="Arial"/>
          <w:sz w:val="22"/>
          <w:szCs w:val="22"/>
        </w:rPr>
      </w:pPr>
    </w:p>
    <w:p w14:paraId="158B3BF3" w14:textId="3A2E28A8" w:rsidR="009D4211" w:rsidRPr="006F4D4C" w:rsidRDefault="009D4211" w:rsidP="001C3067">
      <w:pPr>
        <w:pStyle w:val="Heading2"/>
      </w:pPr>
      <w:bookmarkStart w:id="39" w:name="_Toc236853451"/>
      <w:r w:rsidRPr="006F4D4C">
        <w:lastRenderedPageBreak/>
        <w:t xml:space="preserve">Appendix </w:t>
      </w:r>
      <w:r w:rsidRPr="006F4D4C">
        <w:t>B</w:t>
      </w:r>
      <w:r w:rsidRPr="006F4D4C">
        <w:t xml:space="preserve">: </w:t>
      </w:r>
      <w:r w:rsidRPr="006F4D4C">
        <w:t>Data Quality and Analytical Limitations</w:t>
      </w:r>
      <w:bookmarkEnd w:id="39"/>
    </w:p>
    <w:tbl>
      <w:tblPr>
        <w:tblStyle w:val="TableGrid"/>
        <w:tblW w:w="10201" w:type="dxa"/>
        <w:tblLook w:val="04A0" w:firstRow="1" w:lastRow="0" w:firstColumn="1" w:lastColumn="0" w:noHBand="0" w:noVBand="1"/>
      </w:tblPr>
      <w:tblGrid>
        <w:gridCol w:w="1838"/>
        <w:gridCol w:w="3686"/>
        <w:gridCol w:w="4677"/>
      </w:tblGrid>
      <w:tr w:rsidR="006F4D4C" w:rsidRPr="006F4D4C" w14:paraId="5D823A90" w14:textId="77777777" w:rsidTr="001C3067">
        <w:trPr>
          <w:trHeight w:val="335"/>
        </w:trPr>
        <w:tc>
          <w:tcPr>
            <w:tcW w:w="1838" w:type="dxa"/>
            <w:vAlign w:val="center"/>
          </w:tcPr>
          <w:p w14:paraId="10FEE61D" w14:textId="00A8337C" w:rsidR="006F4D4C" w:rsidRPr="001C3067" w:rsidRDefault="006F4D4C" w:rsidP="006F4D4C">
            <w:pPr>
              <w:rPr>
                <w:rFonts w:ascii="Arial" w:hAnsi="Arial" w:cs="Arial"/>
                <w:sz w:val="20"/>
                <w:szCs w:val="20"/>
              </w:rPr>
            </w:pPr>
            <w:r w:rsidRPr="001C3067">
              <w:rPr>
                <w:rFonts w:ascii="Arial" w:hAnsi="Arial" w:cs="Arial"/>
                <w:b/>
                <w:color w:val="000000" w:themeColor="text1"/>
                <w:sz w:val="20"/>
                <w:szCs w:val="20"/>
              </w:rPr>
              <w:t>Limitation</w:t>
            </w:r>
          </w:p>
        </w:tc>
        <w:tc>
          <w:tcPr>
            <w:tcW w:w="3686" w:type="dxa"/>
            <w:vAlign w:val="center"/>
          </w:tcPr>
          <w:p w14:paraId="1DCEA51A" w14:textId="4FCBBEE3" w:rsidR="006F4D4C" w:rsidRPr="001C3067" w:rsidRDefault="006F4D4C" w:rsidP="006F4D4C">
            <w:pPr>
              <w:rPr>
                <w:rFonts w:ascii="Arial" w:hAnsi="Arial" w:cs="Arial"/>
                <w:sz w:val="20"/>
                <w:szCs w:val="20"/>
              </w:rPr>
            </w:pPr>
            <w:r w:rsidRPr="001C3067">
              <w:rPr>
                <w:rFonts w:ascii="Arial" w:hAnsi="Arial" w:cs="Arial"/>
                <w:b/>
                <w:color w:val="000000" w:themeColor="text1"/>
                <w:sz w:val="20"/>
                <w:szCs w:val="20"/>
              </w:rPr>
              <w:t>Analytical impact</w:t>
            </w:r>
          </w:p>
        </w:tc>
        <w:tc>
          <w:tcPr>
            <w:tcW w:w="4677" w:type="dxa"/>
            <w:vAlign w:val="center"/>
          </w:tcPr>
          <w:p w14:paraId="1BA0A3A0" w14:textId="5666F610" w:rsidR="006F4D4C" w:rsidRPr="001C3067" w:rsidRDefault="006F4D4C" w:rsidP="006F4D4C">
            <w:pPr>
              <w:rPr>
                <w:rFonts w:ascii="Arial" w:hAnsi="Arial" w:cs="Arial"/>
                <w:sz w:val="20"/>
                <w:szCs w:val="20"/>
              </w:rPr>
            </w:pPr>
            <w:r w:rsidRPr="001C3067">
              <w:rPr>
                <w:rFonts w:ascii="Arial" w:hAnsi="Arial" w:cs="Arial"/>
                <w:b/>
                <w:color w:val="000000" w:themeColor="text1"/>
                <w:sz w:val="20"/>
                <w:szCs w:val="20"/>
              </w:rPr>
              <w:t>Required next step</w:t>
            </w:r>
          </w:p>
        </w:tc>
      </w:tr>
      <w:tr w:rsidR="006F4D4C" w:rsidRPr="006F4D4C" w14:paraId="695BE571" w14:textId="77777777" w:rsidTr="001C3067">
        <w:trPr>
          <w:trHeight w:val="335"/>
        </w:trPr>
        <w:tc>
          <w:tcPr>
            <w:tcW w:w="1838" w:type="dxa"/>
          </w:tcPr>
          <w:p w14:paraId="501FF3AB" w14:textId="46FAA2D2"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Transaction file has no region field</w:t>
            </w:r>
          </w:p>
        </w:tc>
        <w:tc>
          <w:tcPr>
            <w:tcW w:w="3686" w:type="dxa"/>
          </w:tcPr>
          <w:p w14:paraId="74D3C2C1" w14:textId="1845386B"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Regional results cannot be independently rebuilt from the transaction dataset</w:t>
            </w:r>
          </w:p>
        </w:tc>
        <w:tc>
          <w:tcPr>
            <w:tcW w:w="4677" w:type="dxa"/>
          </w:tcPr>
          <w:p w14:paraId="7AE36BEF" w14:textId="32922A74"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Create a governed customer-to-region or order-to-region key and document join quality</w:t>
            </w:r>
          </w:p>
        </w:tc>
      </w:tr>
      <w:tr w:rsidR="006F4D4C" w:rsidRPr="006F4D4C" w14:paraId="4ED6DB41" w14:textId="77777777" w:rsidTr="001C3067">
        <w:trPr>
          <w:trHeight w:val="335"/>
        </w:trPr>
        <w:tc>
          <w:tcPr>
            <w:tcW w:w="1838" w:type="dxa"/>
          </w:tcPr>
          <w:p w14:paraId="6EF9B558" w14:textId="2C7365DB"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Forecast file lacks model metadata</w:t>
            </w:r>
          </w:p>
        </w:tc>
        <w:tc>
          <w:tcPr>
            <w:tcW w:w="3686" w:type="dxa"/>
          </w:tcPr>
          <w:p w14:paraId="7CAEE242" w14:textId="6217417F"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No confidence interval, error measure, or scenario assumptions are available</w:t>
            </w:r>
          </w:p>
        </w:tc>
        <w:tc>
          <w:tcPr>
            <w:tcW w:w="4677" w:type="dxa"/>
          </w:tcPr>
          <w:p w14:paraId="5C2B0752" w14:textId="31389528"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Document forecast method; track monthly MAPE or comparable error measure</w:t>
            </w:r>
          </w:p>
        </w:tc>
      </w:tr>
      <w:tr w:rsidR="006F4D4C" w:rsidRPr="006F4D4C" w14:paraId="3B0F1FEE" w14:textId="77777777" w:rsidTr="001C3067">
        <w:trPr>
          <w:trHeight w:val="335"/>
        </w:trPr>
        <w:tc>
          <w:tcPr>
            <w:tcW w:w="1838" w:type="dxa"/>
          </w:tcPr>
          <w:p w14:paraId="09216B87" w14:textId="62BEE836"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No product cost or campaign cost</w:t>
            </w:r>
          </w:p>
        </w:tc>
        <w:tc>
          <w:tcPr>
            <w:tcW w:w="3686" w:type="dxa"/>
          </w:tcPr>
          <w:p w14:paraId="6226C520" w14:textId="50DF40CC"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Revenue opportunity cannot be translated into contribution profit or ROI</w:t>
            </w:r>
          </w:p>
        </w:tc>
        <w:tc>
          <w:tcPr>
            <w:tcW w:w="4677" w:type="dxa"/>
          </w:tcPr>
          <w:p w14:paraId="0465477A" w14:textId="1FC5C281"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Add cost, margin, discount, shipping, payment fee, and marketing spend fields</w:t>
            </w:r>
          </w:p>
        </w:tc>
      </w:tr>
      <w:tr w:rsidR="006F4D4C" w:rsidRPr="006F4D4C" w14:paraId="582CB0FD" w14:textId="77777777" w:rsidTr="001C3067">
        <w:trPr>
          <w:trHeight w:val="335"/>
        </w:trPr>
        <w:tc>
          <w:tcPr>
            <w:tcW w:w="1838" w:type="dxa"/>
          </w:tcPr>
          <w:p w14:paraId="40BB107D" w14:textId="00C39407"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Product descriptions are text strings</w:t>
            </w:r>
          </w:p>
        </w:tc>
        <w:tc>
          <w:tcPr>
            <w:tcW w:w="3686" w:type="dxa"/>
          </w:tcPr>
          <w:p w14:paraId="637461F3" w14:textId="6A1276C1"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Top-product and bundle analysis can be affected by inconsistent names and quantities</w:t>
            </w:r>
          </w:p>
        </w:tc>
        <w:tc>
          <w:tcPr>
            <w:tcW w:w="4677" w:type="dxa"/>
          </w:tcPr>
          <w:p w14:paraId="02DE9F9E" w14:textId="6162BC61"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Create governed SKU, category, brand, and product family fields</w:t>
            </w:r>
          </w:p>
        </w:tc>
      </w:tr>
      <w:tr w:rsidR="006F4D4C" w:rsidRPr="006F4D4C" w14:paraId="11EB37E3" w14:textId="77777777" w:rsidTr="001C3067">
        <w:trPr>
          <w:trHeight w:val="335"/>
        </w:trPr>
        <w:tc>
          <w:tcPr>
            <w:tcW w:w="1838" w:type="dxa"/>
          </w:tcPr>
          <w:p w14:paraId="192F6CEF" w14:textId="23E1BA9E"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Multiple AOV definitions</w:t>
            </w:r>
          </w:p>
        </w:tc>
        <w:tc>
          <w:tcPr>
            <w:tcW w:w="3686" w:type="dxa"/>
          </w:tcPr>
          <w:p w14:paraId="4B72CAB7" w14:textId="25C11006"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Dashboard and report can appear inconsistent even when each measure is mathematically valid</w:t>
            </w:r>
          </w:p>
        </w:tc>
        <w:tc>
          <w:tcPr>
            <w:tcW w:w="4677" w:type="dxa"/>
          </w:tcPr>
          <w:p w14:paraId="0DD7A9AC" w14:textId="7A907ABC"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Approve a metric dictionary and enforce measure names in all deliverables</w:t>
            </w:r>
          </w:p>
        </w:tc>
      </w:tr>
      <w:tr w:rsidR="006F4D4C" w:rsidRPr="006F4D4C" w14:paraId="2C7A1AC7" w14:textId="77777777" w:rsidTr="001C3067">
        <w:trPr>
          <w:trHeight w:val="335"/>
        </w:trPr>
        <w:tc>
          <w:tcPr>
            <w:tcW w:w="1838" w:type="dxa"/>
          </w:tcPr>
          <w:p w14:paraId="5B8DB14A" w14:textId="13C18638"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Historical customer segmentation</w:t>
            </w:r>
          </w:p>
        </w:tc>
        <w:tc>
          <w:tcPr>
            <w:tcW w:w="3686" w:type="dxa"/>
          </w:tcPr>
          <w:p w14:paraId="65D738D9" w14:textId="0246D8DB"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Segments describe past behaviour and may not predict response</w:t>
            </w:r>
          </w:p>
        </w:tc>
        <w:tc>
          <w:tcPr>
            <w:tcW w:w="4677" w:type="dxa"/>
          </w:tcPr>
          <w:p w14:paraId="0CACDC4A" w14:textId="72F9FA1C"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Test segment treatments with holdout groups and refresh rules</w:t>
            </w:r>
          </w:p>
        </w:tc>
      </w:tr>
      <w:tr w:rsidR="006F4D4C" w:rsidRPr="006F4D4C" w14:paraId="42033FE0" w14:textId="77777777" w:rsidTr="001C3067">
        <w:trPr>
          <w:trHeight w:val="335"/>
        </w:trPr>
        <w:tc>
          <w:tcPr>
            <w:tcW w:w="1838" w:type="dxa"/>
          </w:tcPr>
          <w:p w14:paraId="12FC413E" w14:textId="77777777"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 xml:space="preserve">Age eligibility not </w:t>
            </w:r>
          </w:p>
          <w:p w14:paraId="30B49B09" w14:textId="40F85C5D"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present in analytical file</w:t>
            </w:r>
          </w:p>
        </w:tc>
        <w:tc>
          <w:tcPr>
            <w:tcW w:w="3686" w:type="dxa"/>
          </w:tcPr>
          <w:p w14:paraId="1BAC72C0" w14:textId="55E8D335"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Campaign lists cannot be assumed to be legally eligible for vaping promotion</w:t>
            </w:r>
          </w:p>
        </w:tc>
        <w:tc>
          <w:tcPr>
            <w:tcW w:w="4677" w:type="dxa"/>
          </w:tcPr>
          <w:p w14:paraId="41BAF85B" w14:textId="5FFB753D"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Perform age/identity eligibility checks in the activation system, not in the reporting dataset</w:t>
            </w:r>
          </w:p>
        </w:tc>
      </w:tr>
    </w:tbl>
    <w:p w14:paraId="78D7EEE0" w14:textId="77777777" w:rsidR="009D4211" w:rsidRPr="006F4D4C" w:rsidRDefault="009D4211" w:rsidP="009D4211">
      <w:pPr>
        <w:rPr>
          <w:rFonts w:ascii="Arial" w:hAnsi="Arial" w:cs="Arial"/>
          <w:sz w:val="22"/>
          <w:szCs w:val="22"/>
        </w:rPr>
      </w:pPr>
    </w:p>
    <w:p w14:paraId="154A4F0C" w14:textId="77777777" w:rsidR="006F4D4C" w:rsidRPr="006F4D4C" w:rsidRDefault="006F4D4C" w:rsidP="001C3067">
      <w:pPr>
        <w:pStyle w:val="Heading3"/>
      </w:pPr>
      <w:bookmarkStart w:id="40" w:name="_Toc236853452"/>
      <w:r w:rsidRPr="006F4D4C">
        <w:t>Data Quality Controls for Future Refreshes</w:t>
      </w:r>
      <w:bookmarkEnd w:id="40"/>
    </w:p>
    <w:p w14:paraId="09BB3BC4" w14:textId="77777777" w:rsidR="006F4D4C" w:rsidRPr="006F4D4C" w:rsidRDefault="006F4D4C" w:rsidP="006F4D4C">
      <w:pPr>
        <w:pStyle w:val="ListBullet"/>
        <w:numPr>
          <w:ilvl w:val="0"/>
          <w:numId w:val="12"/>
        </w:numPr>
        <w:spacing w:after="0"/>
        <w:rPr>
          <w:rFonts w:cs="Arial"/>
          <w:color w:val="000000" w:themeColor="text1"/>
          <w:sz w:val="22"/>
        </w:rPr>
      </w:pPr>
      <w:r w:rsidRPr="006F4D4C">
        <w:rPr>
          <w:rFonts w:cs="Arial"/>
          <w:color w:val="000000" w:themeColor="text1"/>
          <w:sz w:val="22"/>
        </w:rPr>
        <w:t>Schema tests: required columns and data types must be present before refresh.</w:t>
      </w:r>
    </w:p>
    <w:p w14:paraId="1BDF3939" w14:textId="77777777" w:rsidR="006F4D4C" w:rsidRPr="006F4D4C" w:rsidRDefault="006F4D4C" w:rsidP="006F4D4C">
      <w:pPr>
        <w:pStyle w:val="ListBullet"/>
        <w:numPr>
          <w:ilvl w:val="0"/>
          <w:numId w:val="12"/>
        </w:numPr>
        <w:spacing w:after="0"/>
        <w:rPr>
          <w:rFonts w:cs="Arial"/>
          <w:color w:val="000000" w:themeColor="text1"/>
          <w:sz w:val="22"/>
        </w:rPr>
      </w:pPr>
      <w:r w:rsidRPr="006F4D4C">
        <w:rPr>
          <w:rFonts w:cs="Arial"/>
          <w:color w:val="000000" w:themeColor="text1"/>
          <w:sz w:val="22"/>
        </w:rPr>
        <w:t>Domain tests: valid status codes, positive completed sales, non-negative items, and accepted date ranges.</w:t>
      </w:r>
    </w:p>
    <w:p w14:paraId="56400C79" w14:textId="77777777" w:rsidR="006F4D4C" w:rsidRPr="006F4D4C" w:rsidRDefault="006F4D4C" w:rsidP="006F4D4C">
      <w:pPr>
        <w:pStyle w:val="ListBullet"/>
        <w:numPr>
          <w:ilvl w:val="0"/>
          <w:numId w:val="12"/>
        </w:numPr>
        <w:spacing w:after="0"/>
        <w:rPr>
          <w:rFonts w:cs="Arial"/>
          <w:color w:val="000000" w:themeColor="text1"/>
          <w:sz w:val="22"/>
        </w:rPr>
      </w:pPr>
      <w:r w:rsidRPr="006F4D4C">
        <w:rPr>
          <w:rFonts w:cs="Arial"/>
          <w:color w:val="000000" w:themeColor="text1"/>
          <w:sz w:val="22"/>
        </w:rPr>
        <w:t>Identity tests: order IDs unique at order grain; privacy-safe customer ID coverage monitored.</w:t>
      </w:r>
    </w:p>
    <w:p w14:paraId="71B10D2C" w14:textId="77777777" w:rsidR="006F4D4C" w:rsidRPr="006F4D4C" w:rsidRDefault="006F4D4C" w:rsidP="006F4D4C">
      <w:pPr>
        <w:pStyle w:val="ListBullet"/>
        <w:numPr>
          <w:ilvl w:val="0"/>
          <w:numId w:val="12"/>
        </w:numPr>
        <w:spacing w:after="0"/>
        <w:rPr>
          <w:rFonts w:cs="Arial"/>
          <w:color w:val="000000" w:themeColor="text1"/>
          <w:sz w:val="22"/>
        </w:rPr>
      </w:pPr>
      <w:r w:rsidRPr="006F4D4C">
        <w:rPr>
          <w:rFonts w:cs="Arial"/>
          <w:color w:val="000000" w:themeColor="text1"/>
          <w:sz w:val="22"/>
        </w:rPr>
        <w:t>Metric tests: AOV recalculates within an approved tolerance; dashboard cards reconcile to Python totals.</w:t>
      </w:r>
    </w:p>
    <w:p w14:paraId="10A4E521" w14:textId="77777777" w:rsidR="006F4D4C" w:rsidRPr="006F4D4C" w:rsidRDefault="006F4D4C" w:rsidP="006F4D4C">
      <w:pPr>
        <w:pStyle w:val="ListBullet"/>
        <w:numPr>
          <w:ilvl w:val="0"/>
          <w:numId w:val="12"/>
        </w:numPr>
        <w:spacing w:after="0"/>
        <w:rPr>
          <w:rFonts w:cs="Arial"/>
          <w:color w:val="000000" w:themeColor="text1"/>
          <w:sz w:val="22"/>
        </w:rPr>
      </w:pPr>
      <w:r w:rsidRPr="006F4D4C">
        <w:rPr>
          <w:rFonts w:cs="Arial"/>
          <w:color w:val="000000" w:themeColor="text1"/>
          <w:sz w:val="22"/>
        </w:rPr>
        <w:t>Freshness tests: extract timestamp, reporting window, and refresh service level recorded.</w:t>
      </w:r>
    </w:p>
    <w:p w14:paraId="37A15507" w14:textId="77777777" w:rsidR="006F4D4C" w:rsidRPr="006F4D4C" w:rsidRDefault="006F4D4C" w:rsidP="006F4D4C">
      <w:pPr>
        <w:pStyle w:val="ListBullet"/>
        <w:numPr>
          <w:ilvl w:val="0"/>
          <w:numId w:val="12"/>
        </w:numPr>
        <w:spacing w:after="0"/>
        <w:rPr>
          <w:rFonts w:cs="Arial"/>
          <w:color w:val="000000" w:themeColor="text1"/>
          <w:sz w:val="22"/>
        </w:rPr>
      </w:pPr>
      <w:r w:rsidRPr="006F4D4C">
        <w:rPr>
          <w:rFonts w:cs="Arial"/>
          <w:color w:val="000000" w:themeColor="text1"/>
          <w:sz w:val="22"/>
        </w:rPr>
        <w:t>Distribution tests: median, p95/p99, coupon rate, customer mix, and regional mix monitored for unexpected shifts.</w:t>
      </w:r>
    </w:p>
    <w:p w14:paraId="6EF1C5AD" w14:textId="79A7DB9F" w:rsidR="006F4D4C" w:rsidRPr="006F4D4C" w:rsidRDefault="006F4D4C" w:rsidP="006F4D4C">
      <w:pPr>
        <w:pStyle w:val="ListBullet"/>
        <w:numPr>
          <w:ilvl w:val="0"/>
          <w:numId w:val="12"/>
        </w:numPr>
        <w:spacing w:after="0"/>
        <w:rPr>
          <w:rFonts w:cs="Arial"/>
          <w:color w:val="000000" w:themeColor="text1"/>
          <w:sz w:val="22"/>
        </w:rPr>
      </w:pPr>
      <w:r w:rsidRPr="006F4D4C">
        <w:rPr>
          <w:rFonts w:cs="Arial"/>
          <w:color w:val="000000" w:themeColor="text1"/>
          <w:sz w:val="22"/>
        </w:rPr>
        <w:t>Governance tests: access, purpose, retention, age-eligibility handoff, and campaign audit trail documented.</w:t>
      </w:r>
    </w:p>
    <w:p w14:paraId="1659FCF7" w14:textId="77777777" w:rsidR="006F4D4C" w:rsidRPr="006F4D4C" w:rsidRDefault="006F4D4C" w:rsidP="009D4211">
      <w:pPr>
        <w:rPr>
          <w:rFonts w:ascii="Arial" w:hAnsi="Arial" w:cs="Arial"/>
          <w:sz w:val="22"/>
          <w:szCs w:val="22"/>
        </w:rPr>
      </w:pPr>
    </w:p>
    <w:p w14:paraId="19879AFE" w14:textId="1838F662" w:rsidR="009D4211" w:rsidRPr="006F4D4C" w:rsidRDefault="009D4211" w:rsidP="001C3067">
      <w:pPr>
        <w:pStyle w:val="Heading2"/>
      </w:pPr>
      <w:bookmarkStart w:id="41" w:name="_Toc236853453"/>
      <w:r w:rsidRPr="006F4D4C">
        <w:t xml:space="preserve">Appendix </w:t>
      </w:r>
      <w:r w:rsidRPr="006F4D4C">
        <w:t>C</w:t>
      </w:r>
      <w:r w:rsidRPr="006F4D4C">
        <w:t xml:space="preserve">: </w:t>
      </w:r>
      <w:r w:rsidRPr="006F4D4C">
        <w:t xml:space="preserve">Python Workflow </w:t>
      </w:r>
      <w:r w:rsidRPr="006F4D4C">
        <w:t xml:space="preserve">and </w:t>
      </w:r>
      <w:r w:rsidRPr="006F4D4C">
        <w:t>Reproducibility</w:t>
      </w:r>
      <w:bookmarkEnd w:id="41"/>
    </w:p>
    <w:p w14:paraId="5145A5FF" w14:textId="798CC648" w:rsidR="009D4211" w:rsidRPr="006F4D4C" w:rsidRDefault="009D4211" w:rsidP="009D4211">
      <w:pPr>
        <w:rPr>
          <w:rFonts w:ascii="Arial" w:hAnsi="Arial" w:cs="Arial"/>
          <w:color w:val="000000" w:themeColor="text1"/>
          <w:sz w:val="22"/>
          <w:szCs w:val="22"/>
        </w:rPr>
      </w:pPr>
      <w:r w:rsidRPr="006F4D4C">
        <w:rPr>
          <w:rFonts w:ascii="Arial" w:hAnsi="Arial" w:cs="Arial"/>
          <w:color w:val="000000" w:themeColor="text1"/>
          <w:sz w:val="22"/>
          <w:szCs w:val="22"/>
        </w:rPr>
        <w:t>The Python workflow loads the final files, applies the completed</w:t>
      </w:r>
      <w:r w:rsidR="006F4D4C" w:rsidRPr="006F4D4C">
        <w:rPr>
          <w:rFonts w:ascii="Arial" w:hAnsi="Arial" w:cs="Arial"/>
          <w:color w:val="000000" w:themeColor="text1"/>
          <w:sz w:val="22"/>
          <w:szCs w:val="22"/>
        </w:rPr>
        <w:t xml:space="preserve"> </w:t>
      </w:r>
      <w:r w:rsidRPr="006F4D4C">
        <w:rPr>
          <w:rFonts w:ascii="Arial" w:hAnsi="Arial" w:cs="Arial"/>
          <w:color w:val="000000" w:themeColor="text1"/>
          <w:sz w:val="22"/>
          <w:szCs w:val="22"/>
        </w:rPr>
        <w:t>sales filter, calculates KPIs and customer features, and exports summaries. The excerpt below shows the core logic.</w:t>
      </w:r>
    </w:p>
    <w:p w14:paraId="251C7F20" w14:textId="0EE13783" w:rsidR="009D4211" w:rsidRPr="006F4D4C" w:rsidRDefault="009D4211" w:rsidP="009D4211">
      <w:pPr>
        <w:rPr>
          <w:rFonts w:ascii="Arial" w:hAnsi="Arial" w:cs="Arial"/>
          <w:color w:val="000000" w:themeColor="text1"/>
          <w:sz w:val="17"/>
        </w:rPr>
      </w:pPr>
      <w:proofErr w:type="spellStart"/>
      <w:r w:rsidRPr="006F4D4C">
        <w:rPr>
          <w:rFonts w:ascii="Arial" w:hAnsi="Arial" w:cs="Arial"/>
          <w:color w:val="000000" w:themeColor="text1"/>
          <w:sz w:val="17"/>
        </w:rPr>
        <w:lastRenderedPageBreak/>
        <w:t>completed_statuses</w:t>
      </w:r>
      <w:proofErr w:type="spellEnd"/>
      <w:r w:rsidRPr="006F4D4C">
        <w:rPr>
          <w:rFonts w:ascii="Arial" w:hAnsi="Arial" w:cs="Arial"/>
          <w:color w:val="000000" w:themeColor="text1"/>
          <w:sz w:val="17"/>
        </w:rPr>
        <w:t xml:space="preserve"> = ["Completed", "</w:t>
      </w:r>
      <w:proofErr w:type="spellStart"/>
      <w:r w:rsidRPr="006F4D4C">
        <w:rPr>
          <w:rFonts w:ascii="Arial" w:hAnsi="Arial" w:cs="Arial"/>
          <w:color w:val="000000" w:themeColor="text1"/>
          <w:sz w:val="17"/>
        </w:rPr>
        <w:t>Curbside</w:t>
      </w:r>
      <w:proofErr w:type="spellEnd"/>
      <w:r w:rsidRPr="006F4D4C">
        <w:rPr>
          <w:rFonts w:ascii="Arial" w:hAnsi="Arial" w:cs="Arial"/>
          <w:color w:val="000000" w:themeColor="text1"/>
          <w:sz w:val="17"/>
        </w:rPr>
        <w:t>-Complete", "Home-Delivery-Com"]</w:t>
      </w:r>
      <w:r w:rsidRPr="006F4D4C">
        <w:rPr>
          <w:rFonts w:ascii="Arial" w:hAnsi="Arial" w:cs="Arial"/>
          <w:color w:val="000000" w:themeColor="text1"/>
        </w:rPr>
        <w:br/>
      </w:r>
      <w:r w:rsidRPr="006F4D4C">
        <w:rPr>
          <w:rFonts w:ascii="Arial" w:hAnsi="Arial" w:cs="Arial"/>
          <w:color w:val="000000" w:themeColor="text1"/>
        </w:rPr>
        <w:br/>
      </w:r>
      <w:r w:rsidRPr="006F4D4C">
        <w:rPr>
          <w:rFonts w:ascii="Arial" w:hAnsi="Arial" w:cs="Arial"/>
          <w:color w:val="000000" w:themeColor="text1"/>
          <w:sz w:val="17"/>
        </w:rPr>
        <w:t xml:space="preserve">purchases = </w:t>
      </w:r>
      <w:proofErr w:type="spellStart"/>
      <w:r w:rsidRPr="006F4D4C">
        <w:rPr>
          <w:rFonts w:ascii="Arial" w:hAnsi="Arial" w:cs="Arial"/>
          <w:color w:val="000000" w:themeColor="text1"/>
          <w:sz w:val="17"/>
        </w:rPr>
        <w:t>df.loc</w:t>
      </w:r>
      <w:proofErr w:type="spellEnd"/>
      <w:r w:rsidRPr="006F4D4C">
        <w:rPr>
          <w:rFonts w:ascii="Arial" w:hAnsi="Arial" w:cs="Arial"/>
          <w:color w:val="000000" w:themeColor="text1"/>
          <w:sz w:val="17"/>
        </w:rPr>
        <w:t>[</w:t>
      </w:r>
      <w:r w:rsidRPr="006F4D4C">
        <w:rPr>
          <w:rFonts w:ascii="Arial" w:hAnsi="Arial" w:cs="Arial"/>
          <w:color w:val="000000" w:themeColor="text1"/>
        </w:rPr>
        <w:br/>
      </w:r>
      <w:r w:rsidRPr="006F4D4C">
        <w:rPr>
          <w:rFonts w:ascii="Arial" w:hAnsi="Arial" w:cs="Arial"/>
          <w:color w:val="000000" w:themeColor="text1"/>
          <w:sz w:val="17"/>
        </w:rPr>
        <w:t xml:space="preserve">    </w:t>
      </w:r>
      <w:proofErr w:type="spellStart"/>
      <w:r w:rsidRPr="006F4D4C">
        <w:rPr>
          <w:rFonts w:ascii="Arial" w:hAnsi="Arial" w:cs="Arial"/>
          <w:color w:val="000000" w:themeColor="text1"/>
          <w:sz w:val="17"/>
        </w:rPr>
        <w:t>df</w:t>
      </w:r>
      <w:proofErr w:type="spellEnd"/>
      <w:r w:rsidRPr="006F4D4C">
        <w:rPr>
          <w:rFonts w:ascii="Arial" w:hAnsi="Arial" w:cs="Arial"/>
          <w:color w:val="000000" w:themeColor="text1"/>
          <w:sz w:val="17"/>
        </w:rPr>
        <w:t>["status"].</w:t>
      </w:r>
      <w:proofErr w:type="spellStart"/>
      <w:r w:rsidRPr="006F4D4C">
        <w:rPr>
          <w:rFonts w:ascii="Arial" w:hAnsi="Arial" w:cs="Arial"/>
          <w:color w:val="000000" w:themeColor="text1"/>
          <w:sz w:val="17"/>
        </w:rPr>
        <w:t>isin</w:t>
      </w:r>
      <w:proofErr w:type="spellEnd"/>
      <w:r w:rsidRPr="006F4D4C">
        <w:rPr>
          <w:rFonts w:ascii="Arial" w:hAnsi="Arial" w:cs="Arial"/>
          <w:color w:val="000000" w:themeColor="text1"/>
          <w:sz w:val="17"/>
        </w:rPr>
        <w:t>(</w:t>
      </w:r>
      <w:proofErr w:type="spellStart"/>
      <w:r w:rsidRPr="006F4D4C">
        <w:rPr>
          <w:rFonts w:ascii="Arial" w:hAnsi="Arial" w:cs="Arial"/>
          <w:color w:val="000000" w:themeColor="text1"/>
          <w:sz w:val="17"/>
        </w:rPr>
        <w:t>completed_statuses</w:t>
      </w:r>
      <w:proofErr w:type="spellEnd"/>
      <w:r w:rsidRPr="006F4D4C">
        <w:rPr>
          <w:rFonts w:ascii="Arial" w:hAnsi="Arial" w:cs="Arial"/>
          <w:color w:val="000000" w:themeColor="text1"/>
          <w:sz w:val="17"/>
        </w:rPr>
        <w:t>)</w:t>
      </w:r>
      <w:r w:rsidRPr="006F4D4C">
        <w:rPr>
          <w:rFonts w:ascii="Arial" w:hAnsi="Arial" w:cs="Arial"/>
          <w:color w:val="000000" w:themeColor="text1"/>
        </w:rPr>
        <w:br/>
      </w:r>
      <w:r w:rsidRPr="006F4D4C">
        <w:rPr>
          <w:rFonts w:ascii="Arial" w:hAnsi="Arial" w:cs="Arial"/>
          <w:color w:val="000000" w:themeColor="text1"/>
          <w:sz w:val="17"/>
        </w:rPr>
        <w:t xml:space="preserve">    &amp; </w:t>
      </w:r>
      <w:proofErr w:type="spellStart"/>
      <w:r w:rsidRPr="006F4D4C">
        <w:rPr>
          <w:rFonts w:ascii="Arial" w:hAnsi="Arial" w:cs="Arial"/>
          <w:color w:val="000000" w:themeColor="text1"/>
          <w:sz w:val="17"/>
        </w:rPr>
        <w:t>df</w:t>
      </w:r>
      <w:proofErr w:type="spellEnd"/>
      <w:r w:rsidRPr="006F4D4C">
        <w:rPr>
          <w:rFonts w:ascii="Arial" w:hAnsi="Arial" w:cs="Arial"/>
          <w:color w:val="000000" w:themeColor="text1"/>
          <w:sz w:val="17"/>
        </w:rPr>
        <w:t>["</w:t>
      </w:r>
      <w:proofErr w:type="spellStart"/>
      <w:r w:rsidRPr="006F4D4C">
        <w:rPr>
          <w:rFonts w:ascii="Arial" w:hAnsi="Arial" w:cs="Arial"/>
          <w:color w:val="000000" w:themeColor="text1"/>
          <w:sz w:val="17"/>
        </w:rPr>
        <w:t>net_sales</w:t>
      </w:r>
      <w:proofErr w:type="spellEnd"/>
      <w:r w:rsidRPr="006F4D4C">
        <w:rPr>
          <w:rFonts w:ascii="Arial" w:hAnsi="Arial" w:cs="Arial"/>
          <w:color w:val="000000" w:themeColor="text1"/>
          <w:sz w:val="17"/>
        </w:rPr>
        <w:t>"].</w:t>
      </w:r>
      <w:proofErr w:type="spellStart"/>
      <w:r w:rsidRPr="006F4D4C">
        <w:rPr>
          <w:rFonts w:ascii="Arial" w:hAnsi="Arial" w:cs="Arial"/>
          <w:color w:val="000000" w:themeColor="text1"/>
          <w:sz w:val="17"/>
        </w:rPr>
        <w:t>gt</w:t>
      </w:r>
      <w:proofErr w:type="spellEnd"/>
      <w:r w:rsidRPr="006F4D4C">
        <w:rPr>
          <w:rFonts w:ascii="Arial" w:hAnsi="Arial" w:cs="Arial"/>
          <w:color w:val="000000" w:themeColor="text1"/>
          <w:sz w:val="17"/>
        </w:rPr>
        <w:t>(0)</w:t>
      </w:r>
      <w:r w:rsidRPr="006F4D4C">
        <w:rPr>
          <w:rFonts w:ascii="Arial" w:hAnsi="Arial" w:cs="Arial"/>
          <w:color w:val="000000" w:themeColor="text1"/>
        </w:rPr>
        <w:br/>
      </w:r>
      <w:r w:rsidRPr="006F4D4C">
        <w:rPr>
          <w:rFonts w:ascii="Arial" w:hAnsi="Arial" w:cs="Arial"/>
          <w:color w:val="000000" w:themeColor="text1"/>
          <w:sz w:val="17"/>
        </w:rPr>
        <w:t xml:space="preserve">    &amp; </w:t>
      </w:r>
      <w:proofErr w:type="spellStart"/>
      <w:r w:rsidRPr="006F4D4C">
        <w:rPr>
          <w:rFonts w:ascii="Arial" w:hAnsi="Arial" w:cs="Arial"/>
          <w:color w:val="000000" w:themeColor="text1"/>
          <w:sz w:val="17"/>
        </w:rPr>
        <w:t>df</w:t>
      </w:r>
      <w:proofErr w:type="spellEnd"/>
      <w:r w:rsidRPr="006F4D4C">
        <w:rPr>
          <w:rFonts w:ascii="Arial" w:hAnsi="Arial" w:cs="Arial"/>
          <w:color w:val="000000" w:themeColor="text1"/>
          <w:sz w:val="17"/>
        </w:rPr>
        <w:t>["</w:t>
      </w:r>
      <w:proofErr w:type="spellStart"/>
      <w:r w:rsidRPr="006F4D4C">
        <w:rPr>
          <w:rFonts w:ascii="Arial" w:hAnsi="Arial" w:cs="Arial"/>
          <w:color w:val="000000" w:themeColor="text1"/>
          <w:sz w:val="17"/>
        </w:rPr>
        <w:t>order_id</w:t>
      </w:r>
      <w:proofErr w:type="spellEnd"/>
      <w:r w:rsidRPr="006F4D4C">
        <w:rPr>
          <w:rFonts w:ascii="Arial" w:hAnsi="Arial" w:cs="Arial"/>
          <w:color w:val="000000" w:themeColor="text1"/>
          <w:sz w:val="17"/>
        </w:rPr>
        <w:t>"].</w:t>
      </w:r>
      <w:proofErr w:type="spellStart"/>
      <w:r w:rsidRPr="006F4D4C">
        <w:rPr>
          <w:rFonts w:ascii="Arial" w:hAnsi="Arial" w:cs="Arial"/>
          <w:color w:val="000000" w:themeColor="text1"/>
          <w:sz w:val="17"/>
        </w:rPr>
        <w:t>notna</w:t>
      </w:r>
      <w:proofErr w:type="spellEnd"/>
      <w:r w:rsidRPr="006F4D4C">
        <w:rPr>
          <w:rFonts w:ascii="Arial" w:hAnsi="Arial" w:cs="Arial"/>
          <w:color w:val="000000" w:themeColor="text1"/>
          <w:sz w:val="17"/>
        </w:rPr>
        <w:t>()</w:t>
      </w:r>
      <w:r w:rsidRPr="006F4D4C">
        <w:rPr>
          <w:rFonts w:ascii="Arial" w:hAnsi="Arial" w:cs="Arial"/>
          <w:color w:val="000000" w:themeColor="text1"/>
        </w:rPr>
        <w:br/>
      </w:r>
      <w:r w:rsidRPr="006F4D4C">
        <w:rPr>
          <w:rFonts w:ascii="Arial" w:hAnsi="Arial" w:cs="Arial"/>
          <w:color w:val="000000" w:themeColor="text1"/>
          <w:sz w:val="17"/>
        </w:rPr>
        <w:t xml:space="preserve">    &amp; </w:t>
      </w:r>
      <w:proofErr w:type="spellStart"/>
      <w:r w:rsidRPr="006F4D4C">
        <w:rPr>
          <w:rFonts w:ascii="Arial" w:hAnsi="Arial" w:cs="Arial"/>
          <w:color w:val="000000" w:themeColor="text1"/>
          <w:sz w:val="17"/>
        </w:rPr>
        <w:t>df</w:t>
      </w:r>
      <w:proofErr w:type="spellEnd"/>
      <w:r w:rsidRPr="006F4D4C">
        <w:rPr>
          <w:rFonts w:ascii="Arial" w:hAnsi="Arial" w:cs="Arial"/>
          <w:color w:val="000000" w:themeColor="text1"/>
          <w:sz w:val="17"/>
        </w:rPr>
        <w:t>["date"</w:t>
      </w:r>
      <w:proofErr w:type="gramStart"/>
      <w:r w:rsidRPr="006F4D4C">
        <w:rPr>
          <w:rFonts w:ascii="Arial" w:hAnsi="Arial" w:cs="Arial"/>
          <w:color w:val="000000" w:themeColor="text1"/>
          <w:sz w:val="17"/>
        </w:rPr>
        <w:t>].</w:t>
      </w:r>
      <w:proofErr w:type="spellStart"/>
      <w:r w:rsidRPr="006F4D4C">
        <w:rPr>
          <w:rFonts w:ascii="Arial" w:hAnsi="Arial" w:cs="Arial"/>
          <w:color w:val="000000" w:themeColor="text1"/>
          <w:sz w:val="17"/>
        </w:rPr>
        <w:t>notna</w:t>
      </w:r>
      <w:proofErr w:type="spellEnd"/>
      <w:proofErr w:type="gramEnd"/>
      <w:r w:rsidRPr="006F4D4C">
        <w:rPr>
          <w:rFonts w:ascii="Arial" w:hAnsi="Arial" w:cs="Arial"/>
          <w:color w:val="000000" w:themeColor="text1"/>
          <w:sz w:val="17"/>
        </w:rPr>
        <w:t>()</w:t>
      </w:r>
      <w:r w:rsidRPr="006F4D4C">
        <w:rPr>
          <w:rFonts w:ascii="Arial" w:hAnsi="Arial" w:cs="Arial"/>
          <w:color w:val="000000" w:themeColor="text1"/>
        </w:rPr>
        <w:br/>
      </w:r>
      <w:proofErr w:type="gramStart"/>
      <w:r w:rsidRPr="006F4D4C">
        <w:rPr>
          <w:rFonts w:ascii="Arial" w:hAnsi="Arial" w:cs="Arial"/>
          <w:color w:val="000000" w:themeColor="text1"/>
          <w:sz w:val="17"/>
        </w:rPr>
        <w:t>].copy</w:t>
      </w:r>
      <w:proofErr w:type="gramEnd"/>
      <w:r w:rsidRPr="006F4D4C">
        <w:rPr>
          <w:rFonts w:ascii="Arial" w:hAnsi="Arial" w:cs="Arial"/>
          <w:color w:val="000000" w:themeColor="text1"/>
          <w:sz w:val="17"/>
        </w:rPr>
        <w:t>()</w:t>
      </w:r>
      <w:r w:rsidRPr="006F4D4C">
        <w:rPr>
          <w:rFonts w:ascii="Arial" w:hAnsi="Arial" w:cs="Arial"/>
          <w:color w:val="000000" w:themeColor="text1"/>
        </w:rPr>
        <w:br/>
      </w:r>
      <w:r w:rsidRPr="006F4D4C">
        <w:rPr>
          <w:rFonts w:ascii="Arial" w:hAnsi="Arial" w:cs="Arial"/>
          <w:color w:val="000000" w:themeColor="text1"/>
        </w:rPr>
        <w:br/>
      </w:r>
      <w:proofErr w:type="spellStart"/>
      <w:r w:rsidRPr="006F4D4C">
        <w:rPr>
          <w:rFonts w:ascii="Arial" w:hAnsi="Arial" w:cs="Arial"/>
          <w:color w:val="000000" w:themeColor="text1"/>
          <w:sz w:val="17"/>
        </w:rPr>
        <w:t>completed_net_sales</w:t>
      </w:r>
      <w:proofErr w:type="spellEnd"/>
      <w:r w:rsidRPr="006F4D4C">
        <w:rPr>
          <w:rFonts w:ascii="Arial" w:hAnsi="Arial" w:cs="Arial"/>
          <w:color w:val="000000" w:themeColor="text1"/>
          <w:sz w:val="17"/>
        </w:rPr>
        <w:t xml:space="preserve"> = purchases["</w:t>
      </w:r>
      <w:proofErr w:type="spellStart"/>
      <w:r w:rsidRPr="006F4D4C">
        <w:rPr>
          <w:rFonts w:ascii="Arial" w:hAnsi="Arial" w:cs="Arial"/>
          <w:color w:val="000000" w:themeColor="text1"/>
          <w:sz w:val="17"/>
        </w:rPr>
        <w:t>net_sales</w:t>
      </w:r>
      <w:proofErr w:type="spellEnd"/>
      <w:r w:rsidRPr="006F4D4C">
        <w:rPr>
          <w:rFonts w:ascii="Arial" w:hAnsi="Arial" w:cs="Arial"/>
          <w:color w:val="000000" w:themeColor="text1"/>
          <w:sz w:val="17"/>
        </w:rPr>
        <w:t>"</w:t>
      </w:r>
      <w:proofErr w:type="gramStart"/>
      <w:r w:rsidRPr="006F4D4C">
        <w:rPr>
          <w:rFonts w:ascii="Arial" w:hAnsi="Arial" w:cs="Arial"/>
          <w:color w:val="000000" w:themeColor="text1"/>
          <w:sz w:val="17"/>
        </w:rPr>
        <w:t>].sum</w:t>
      </w:r>
      <w:proofErr w:type="gramEnd"/>
      <w:r w:rsidRPr="006F4D4C">
        <w:rPr>
          <w:rFonts w:ascii="Arial" w:hAnsi="Arial" w:cs="Arial"/>
          <w:color w:val="000000" w:themeColor="text1"/>
          <w:sz w:val="17"/>
        </w:rPr>
        <w:t>()</w:t>
      </w:r>
      <w:r w:rsidRPr="006F4D4C">
        <w:rPr>
          <w:rFonts w:ascii="Arial" w:hAnsi="Arial" w:cs="Arial"/>
          <w:color w:val="000000" w:themeColor="text1"/>
        </w:rPr>
        <w:br/>
      </w:r>
      <w:proofErr w:type="spellStart"/>
      <w:r w:rsidRPr="006F4D4C">
        <w:rPr>
          <w:rFonts w:ascii="Arial" w:hAnsi="Arial" w:cs="Arial"/>
          <w:color w:val="000000" w:themeColor="text1"/>
          <w:sz w:val="17"/>
        </w:rPr>
        <w:t>completed_orders</w:t>
      </w:r>
      <w:proofErr w:type="spellEnd"/>
      <w:r w:rsidRPr="006F4D4C">
        <w:rPr>
          <w:rFonts w:ascii="Arial" w:hAnsi="Arial" w:cs="Arial"/>
          <w:color w:val="000000" w:themeColor="text1"/>
          <w:sz w:val="17"/>
        </w:rPr>
        <w:t xml:space="preserve"> = purchases["</w:t>
      </w:r>
      <w:proofErr w:type="spellStart"/>
      <w:r w:rsidRPr="006F4D4C">
        <w:rPr>
          <w:rFonts w:ascii="Arial" w:hAnsi="Arial" w:cs="Arial"/>
          <w:color w:val="000000" w:themeColor="text1"/>
          <w:sz w:val="17"/>
        </w:rPr>
        <w:t>order_id</w:t>
      </w:r>
      <w:proofErr w:type="spellEnd"/>
      <w:r w:rsidRPr="006F4D4C">
        <w:rPr>
          <w:rFonts w:ascii="Arial" w:hAnsi="Arial" w:cs="Arial"/>
          <w:color w:val="000000" w:themeColor="text1"/>
          <w:sz w:val="17"/>
        </w:rPr>
        <w:t>"</w:t>
      </w:r>
      <w:proofErr w:type="gramStart"/>
      <w:r w:rsidRPr="006F4D4C">
        <w:rPr>
          <w:rFonts w:ascii="Arial" w:hAnsi="Arial" w:cs="Arial"/>
          <w:color w:val="000000" w:themeColor="text1"/>
          <w:sz w:val="17"/>
        </w:rPr>
        <w:t>].</w:t>
      </w:r>
      <w:proofErr w:type="spellStart"/>
      <w:r w:rsidRPr="006F4D4C">
        <w:rPr>
          <w:rFonts w:ascii="Arial" w:hAnsi="Arial" w:cs="Arial"/>
          <w:color w:val="000000" w:themeColor="text1"/>
          <w:sz w:val="17"/>
        </w:rPr>
        <w:t>nunique</w:t>
      </w:r>
      <w:proofErr w:type="spellEnd"/>
      <w:proofErr w:type="gramEnd"/>
      <w:r w:rsidRPr="006F4D4C">
        <w:rPr>
          <w:rFonts w:ascii="Arial" w:hAnsi="Arial" w:cs="Arial"/>
          <w:color w:val="000000" w:themeColor="text1"/>
          <w:sz w:val="17"/>
        </w:rPr>
        <w:t>()</w:t>
      </w:r>
      <w:r w:rsidRPr="006F4D4C">
        <w:rPr>
          <w:rFonts w:ascii="Arial" w:hAnsi="Arial" w:cs="Arial"/>
          <w:color w:val="000000" w:themeColor="text1"/>
        </w:rPr>
        <w:br/>
      </w:r>
      <w:proofErr w:type="spellStart"/>
      <w:r w:rsidRPr="006F4D4C">
        <w:rPr>
          <w:rFonts w:ascii="Arial" w:hAnsi="Arial" w:cs="Arial"/>
          <w:color w:val="000000" w:themeColor="text1"/>
          <w:sz w:val="17"/>
        </w:rPr>
        <w:t>weighted_aov</w:t>
      </w:r>
      <w:proofErr w:type="spellEnd"/>
      <w:r w:rsidRPr="006F4D4C">
        <w:rPr>
          <w:rFonts w:ascii="Arial" w:hAnsi="Arial" w:cs="Arial"/>
          <w:color w:val="000000" w:themeColor="text1"/>
          <w:sz w:val="17"/>
        </w:rPr>
        <w:t xml:space="preserve"> = </w:t>
      </w:r>
      <w:proofErr w:type="spellStart"/>
      <w:r w:rsidRPr="006F4D4C">
        <w:rPr>
          <w:rFonts w:ascii="Arial" w:hAnsi="Arial" w:cs="Arial"/>
          <w:color w:val="000000" w:themeColor="text1"/>
          <w:sz w:val="17"/>
        </w:rPr>
        <w:t>completed_net_sales</w:t>
      </w:r>
      <w:proofErr w:type="spellEnd"/>
      <w:r w:rsidRPr="006F4D4C">
        <w:rPr>
          <w:rFonts w:ascii="Arial" w:hAnsi="Arial" w:cs="Arial"/>
          <w:color w:val="000000" w:themeColor="text1"/>
          <w:sz w:val="17"/>
        </w:rPr>
        <w:t xml:space="preserve"> / </w:t>
      </w:r>
      <w:proofErr w:type="spellStart"/>
      <w:r w:rsidRPr="006F4D4C">
        <w:rPr>
          <w:rFonts w:ascii="Arial" w:hAnsi="Arial" w:cs="Arial"/>
          <w:color w:val="000000" w:themeColor="text1"/>
          <w:sz w:val="17"/>
        </w:rPr>
        <w:t>completed_orders</w:t>
      </w:r>
      <w:proofErr w:type="spellEnd"/>
      <w:r w:rsidRPr="006F4D4C">
        <w:rPr>
          <w:rFonts w:ascii="Arial" w:hAnsi="Arial" w:cs="Arial"/>
          <w:color w:val="000000" w:themeColor="text1"/>
        </w:rPr>
        <w:br/>
      </w:r>
      <w:r w:rsidRPr="006F4D4C">
        <w:rPr>
          <w:rFonts w:ascii="Arial" w:hAnsi="Arial" w:cs="Arial"/>
          <w:color w:val="000000" w:themeColor="text1"/>
        </w:rPr>
        <w:br/>
      </w:r>
      <w:proofErr w:type="spellStart"/>
      <w:r w:rsidRPr="006F4D4C">
        <w:rPr>
          <w:rFonts w:ascii="Arial" w:hAnsi="Arial" w:cs="Arial"/>
          <w:color w:val="000000" w:themeColor="text1"/>
          <w:sz w:val="17"/>
        </w:rPr>
        <w:t>orders_per_customer</w:t>
      </w:r>
      <w:proofErr w:type="spellEnd"/>
      <w:r w:rsidRPr="006F4D4C">
        <w:rPr>
          <w:rFonts w:ascii="Arial" w:hAnsi="Arial" w:cs="Arial"/>
          <w:color w:val="000000" w:themeColor="text1"/>
          <w:sz w:val="17"/>
        </w:rPr>
        <w:t xml:space="preserve"> = </w:t>
      </w:r>
      <w:proofErr w:type="spellStart"/>
      <w:proofErr w:type="gramStart"/>
      <w:r w:rsidRPr="006F4D4C">
        <w:rPr>
          <w:rFonts w:ascii="Arial" w:hAnsi="Arial" w:cs="Arial"/>
          <w:color w:val="000000" w:themeColor="text1"/>
          <w:sz w:val="17"/>
        </w:rPr>
        <w:t>purchases.groupby</w:t>
      </w:r>
      <w:proofErr w:type="spellEnd"/>
      <w:proofErr w:type="gramEnd"/>
      <w:r w:rsidRPr="006F4D4C">
        <w:rPr>
          <w:rFonts w:ascii="Arial" w:hAnsi="Arial" w:cs="Arial"/>
          <w:color w:val="000000" w:themeColor="text1"/>
          <w:sz w:val="17"/>
        </w:rPr>
        <w:t>("</w:t>
      </w:r>
      <w:proofErr w:type="spellStart"/>
      <w:r w:rsidRPr="006F4D4C">
        <w:rPr>
          <w:rFonts w:ascii="Arial" w:hAnsi="Arial" w:cs="Arial"/>
          <w:color w:val="000000" w:themeColor="text1"/>
          <w:sz w:val="17"/>
        </w:rPr>
        <w:t>customer_id</w:t>
      </w:r>
      <w:proofErr w:type="spellEnd"/>
      <w:proofErr w:type="gramStart"/>
      <w:r w:rsidRPr="006F4D4C">
        <w:rPr>
          <w:rFonts w:ascii="Arial" w:hAnsi="Arial" w:cs="Arial"/>
          <w:color w:val="000000" w:themeColor="text1"/>
          <w:sz w:val="17"/>
        </w:rPr>
        <w:t>")[</w:t>
      </w:r>
      <w:proofErr w:type="gramEnd"/>
      <w:r w:rsidRPr="006F4D4C">
        <w:rPr>
          <w:rFonts w:ascii="Arial" w:hAnsi="Arial" w:cs="Arial"/>
          <w:color w:val="000000" w:themeColor="text1"/>
          <w:sz w:val="17"/>
        </w:rPr>
        <w:t>"</w:t>
      </w:r>
      <w:proofErr w:type="spellStart"/>
      <w:r w:rsidRPr="006F4D4C">
        <w:rPr>
          <w:rFonts w:ascii="Arial" w:hAnsi="Arial" w:cs="Arial"/>
          <w:color w:val="000000" w:themeColor="text1"/>
          <w:sz w:val="17"/>
        </w:rPr>
        <w:t>order_id</w:t>
      </w:r>
      <w:proofErr w:type="spellEnd"/>
      <w:r w:rsidRPr="006F4D4C">
        <w:rPr>
          <w:rFonts w:ascii="Arial" w:hAnsi="Arial" w:cs="Arial"/>
          <w:color w:val="000000" w:themeColor="text1"/>
          <w:sz w:val="17"/>
        </w:rPr>
        <w:t>"</w:t>
      </w:r>
      <w:proofErr w:type="gramStart"/>
      <w:r w:rsidRPr="006F4D4C">
        <w:rPr>
          <w:rFonts w:ascii="Arial" w:hAnsi="Arial" w:cs="Arial"/>
          <w:color w:val="000000" w:themeColor="text1"/>
          <w:sz w:val="17"/>
        </w:rPr>
        <w:t>].</w:t>
      </w:r>
      <w:proofErr w:type="spellStart"/>
      <w:r w:rsidRPr="006F4D4C">
        <w:rPr>
          <w:rFonts w:ascii="Arial" w:hAnsi="Arial" w:cs="Arial"/>
          <w:color w:val="000000" w:themeColor="text1"/>
          <w:sz w:val="17"/>
        </w:rPr>
        <w:t>nunique</w:t>
      </w:r>
      <w:proofErr w:type="spellEnd"/>
      <w:proofErr w:type="gramEnd"/>
      <w:r w:rsidRPr="006F4D4C">
        <w:rPr>
          <w:rFonts w:ascii="Arial" w:hAnsi="Arial" w:cs="Arial"/>
          <w:color w:val="000000" w:themeColor="text1"/>
          <w:sz w:val="17"/>
        </w:rPr>
        <w:t>()</w:t>
      </w:r>
      <w:r w:rsidRPr="006F4D4C">
        <w:rPr>
          <w:rFonts w:ascii="Arial" w:hAnsi="Arial" w:cs="Arial"/>
          <w:color w:val="000000" w:themeColor="text1"/>
        </w:rPr>
        <w:br/>
      </w:r>
      <w:proofErr w:type="spellStart"/>
      <w:r w:rsidRPr="006F4D4C">
        <w:rPr>
          <w:rFonts w:ascii="Arial" w:hAnsi="Arial" w:cs="Arial"/>
          <w:color w:val="000000" w:themeColor="text1"/>
          <w:sz w:val="17"/>
        </w:rPr>
        <w:t>repeat_customer_rate</w:t>
      </w:r>
      <w:proofErr w:type="spellEnd"/>
      <w:r w:rsidRPr="006F4D4C">
        <w:rPr>
          <w:rFonts w:ascii="Arial" w:hAnsi="Arial" w:cs="Arial"/>
          <w:color w:val="000000" w:themeColor="text1"/>
          <w:sz w:val="17"/>
        </w:rPr>
        <w:t xml:space="preserve"> = orders_per_customer.gt(1</w:t>
      </w:r>
      <w:proofErr w:type="gramStart"/>
      <w:r w:rsidRPr="006F4D4C">
        <w:rPr>
          <w:rFonts w:ascii="Arial" w:hAnsi="Arial" w:cs="Arial"/>
          <w:color w:val="000000" w:themeColor="text1"/>
          <w:sz w:val="17"/>
        </w:rPr>
        <w:t>).mean</w:t>
      </w:r>
      <w:proofErr w:type="gramEnd"/>
      <w:r w:rsidRPr="006F4D4C">
        <w:rPr>
          <w:rFonts w:ascii="Arial" w:hAnsi="Arial" w:cs="Arial"/>
          <w:color w:val="000000" w:themeColor="text1"/>
          <w:sz w:val="17"/>
        </w:rPr>
        <w:t>()</w:t>
      </w:r>
    </w:p>
    <w:p w14:paraId="33BE8C04" w14:textId="77777777" w:rsidR="006F4D4C" w:rsidRPr="006F4D4C" w:rsidRDefault="006F4D4C" w:rsidP="009D4211">
      <w:pPr>
        <w:rPr>
          <w:rFonts w:ascii="Arial" w:hAnsi="Arial" w:cs="Arial"/>
          <w:color w:val="000000" w:themeColor="text1"/>
          <w:sz w:val="17"/>
        </w:rPr>
      </w:pPr>
    </w:p>
    <w:p w14:paraId="404399E8" w14:textId="77777777" w:rsidR="009D4211" w:rsidRPr="006F4D4C" w:rsidRDefault="009D4211" w:rsidP="001C3067">
      <w:pPr>
        <w:pStyle w:val="Heading3"/>
      </w:pPr>
      <w:bookmarkStart w:id="42" w:name="_Toc236853454"/>
      <w:r w:rsidRPr="006F4D4C">
        <w:t>Reproducible Output Checks</w:t>
      </w:r>
      <w:bookmarkEnd w:id="42"/>
    </w:p>
    <w:p w14:paraId="7BA505ED" w14:textId="04E15887" w:rsidR="006F4D4C" w:rsidRPr="006F4D4C" w:rsidRDefault="006F4D4C" w:rsidP="009D4211">
      <w:pPr>
        <w:pStyle w:val="ReportHeading2"/>
        <w:rPr>
          <w:rFonts w:cs="Arial"/>
          <w:b w:val="0"/>
          <w:bCs/>
          <w:iCs/>
          <w:color w:val="000000" w:themeColor="text1"/>
          <w:sz w:val="22"/>
        </w:rPr>
      </w:pPr>
      <w:r w:rsidRPr="006F4D4C">
        <w:rPr>
          <w:rFonts w:cs="Arial"/>
          <w:b w:val="0"/>
          <w:bCs/>
          <w:iCs/>
          <w:color w:val="000000" w:themeColor="text1"/>
          <w:sz w:val="22"/>
        </w:rPr>
        <w:t>These values provide an audit trail across the dataset, Python code, dashboard, and report.</w:t>
      </w:r>
    </w:p>
    <w:tbl>
      <w:tblPr>
        <w:tblStyle w:val="TableGrid"/>
        <w:tblW w:w="0" w:type="auto"/>
        <w:tblLook w:val="04A0" w:firstRow="1" w:lastRow="0" w:firstColumn="1" w:lastColumn="0" w:noHBand="0" w:noVBand="1"/>
      </w:tblPr>
      <w:tblGrid>
        <w:gridCol w:w="4341"/>
        <w:gridCol w:w="4341"/>
      </w:tblGrid>
      <w:tr w:rsidR="006F4D4C" w:rsidRPr="001C3067" w14:paraId="52F27104" w14:textId="77777777" w:rsidTr="001C3067">
        <w:trPr>
          <w:trHeight w:val="336"/>
        </w:trPr>
        <w:tc>
          <w:tcPr>
            <w:tcW w:w="4341" w:type="dxa"/>
            <w:vAlign w:val="center"/>
          </w:tcPr>
          <w:p w14:paraId="4FE9920A" w14:textId="2BF796F1" w:rsidR="006F4D4C" w:rsidRPr="001C3067" w:rsidRDefault="006F4D4C" w:rsidP="006F4D4C">
            <w:pPr>
              <w:rPr>
                <w:rFonts w:ascii="Arial" w:hAnsi="Arial" w:cs="Arial"/>
                <w:color w:val="000000" w:themeColor="text1"/>
                <w:sz w:val="20"/>
                <w:szCs w:val="20"/>
              </w:rPr>
            </w:pPr>
            <w:r w:rsidRPr="001C3067">
              <w:rPr>
                <w:rFonts w:ascii="Arial" w:hAnsi="Arial" w:cs="Arial"/>
                <w:b/>
                <w:color w:val="000000" w:themeColor="text1"/>
                <w:sz w:val="20"/>
                <w:szCs w:val="20"/>
              </w:rPr>
              <w:t>Check</w:t>
            </w:r>
          </w:p>
        </w:tc>
        <w:tc>
          <w:tcPr>
            <w:tcW w:w="4341" w:type="dxa"/>
            <w:vAlign w:val="center"/>
          </w:tcPr>
          <w:p w14:paraId="4E947634" w14:textId="546665A7" w:rsidR="006F4D4C" w:rsidRPr="001C3067" w:rsidRDefault="006F4D4C" w:rsidP="006F4D4C">
            <w:pPr>
              <w:rPr>
                <w:rFonts w:ascii="Arial" w:hAnsi="Arial" w:cs="Arial"/>
                <w:color w:val="000000" w:themeColor="text1"/>
                <w:sz w:val="20"/>
                <w:szCs w:val="20"/>
              </w:rPr>
            </w:pPr>
            <w:r w:rsidRPr="001C3067">
              <w:rPr>
                <w:rFonts w:ascii="Arial" w:hAnsi="Arial" w:cs="Arial"/>
                <w:b/>
                <w:color w:val="000000" w:themeColor="text1"/>
                <w:sz w:val="20"/>
                <w:szCs w:val="20"/>
              </w:rPr>
              <w:t>Validated output</w:t>
            </w:r>
          </w:p>
        </w:tc>
      </w:tr>
      <w:tr w:rsidR="006F4D4C" w:rsidRPr="001C3067" w14:paraId="5ED6C0BF" w14:textId="77777777" w:rsidTr="001C3067">
        <w:trPr>
          <w:trHeight w:val="368"/>
        </w:trPr>
        <w:tc>
          <w:tcPr>
            <w:tcW w:w="4341" w:type="dxa"/>
          </w:tcPr>
          <w:p w14:paraId="5AD1648B" w14:textId="7756AA28"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Raw transaction rows</w:t>
            </w:r>
          </w:p>
        </w:tc>
        <w:tc>
          <w:tcPr>
            <w:tcW w:w="4341" w:type="dxa"/>
          </w:tcPr>
          <w:p w14:paraId="2E0B07A8" w14:textId="52CAAF59"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181,641</w:t>
            </w:r>
          </w:p>
        </w:tc>
      </w:tr>
      <w:tr w:rsidR="006F4D4C" w:rsidRPr="001C3067" w14:paraId="67252D73" w14:textId="77777777" w:rsidTr="001C3067">
        <w:trPr>
          <w:trHeight w:val="336"/>
        </w:trPr>
        <w:tc>
          <w:tcPr>
            <w:tcW w:w="4341" w:type="dxa"/>
          </w:tcPr>
          <w:p w14:paraId="1EE43EA3" w14:textId="44B5DC0C"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Completed positive-value orders</w:t>
            </w:r>
          </w:p>
        </w:tc>
        <w:tc>
          <w:tcPr>
            <w:tcW w:w="4341" w:type="dxa"/>
          </w:tcPr>
          <w:p w14:paraId="3543B5AD" w14:textId="0FC795B9"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177,142</w:t>
            </w:r>
          </w:p>
        </w:tc>
      </w:tr>
      <w:tr w:rsidR="006F4D4C" w:rsidRPr="001C3067" w14:paraId="728FFBE8" w14:textId="77777777" w:rsidTr="001C3067">
        <w:trPr>
          <w:trHeight w:val="368"/>
        </w:trPr>
        <w:tc>
          <w:tcPr>
            <w:tcW w:w="4341" w:type="dxa"/>
          </w:tcPr>
          <w:p w14:paraId="1414D4FB" w14:textId="76C79A1E"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Completed net sales</w:t>
            </w:r>
          </w:p>
        </w:tc>
        <w:tc>
          <w:tcPr>
            <w:tcW w:w="4341" w:type="dxa"/>
          </w:tcPr>
          <w:p w14:paraId="7E3B6D9C" w14:textId="62706EC7"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$18,173,726.47</w:t>
            </w:r>
          </w:p>
        </w:tc>
      </w:tr>
      <w:tr w:rsidR="006F4D4C" w:rsidRPr="001C3067" w14:paraId="14184E63" w14:textId="77777777" w:rsidTr="001C3067">
        <w:trPr>
          <w:trHeight w:val="336"/>
        </w:trPr>
        <w:tc>
          <w:tcPr>
            <w:tcW w:w="4341" w:type="dxa"/>
          </w:tcPr>
          <w:p w14:paraId="2A52C445" w14:textId="0E56A821"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Weighted order AOV</w:t>
            </w:r>
          </w:p>
        </w:tc>
        <w:tc>
          <w:tcPr>
            <w:tcW w:w="4341" w:type="dxa"/>
          </w:tcPr>
          <w:p w14:paraId="44404CB4" w14:textId="2D7CB9AE"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$102.59</w:t>
            </w:r>
          </w:p>
        </w:tc>
      </w:tr>
      <w:tr w:rsidR="006F4D4C" w:rsidRPr="001C3067" w14:paraId="768153D0" w14:textId="77777777" w:rsidTr="001C3067">
        <w:trPr>
          <w:trHeight w:val="368"/>
        </w:trPr>
        <w:tc>
          <w:tcPr>
            <w:tcW w:w="4341" w:type="dxa"/>
          </w:tcPr>
          <w:p w14:paraId="25237459" w14:textId="24EC0AD3"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Identifiable customers</w:t>
            </w:r>
          </w:p>
        </w:tc>
        <w:tc>
          <w:tcPr>
            <w:tcW w:w="4341" w:type="dxa"/>
          </w:tcPr>
          <w:p w14:paraId="5C3342A3" w14:textId="0E68067D"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22,569</w:t>
            </w:r>
          </w:p>
        </w:tc>
      </w:tr>
      <w:tr w:rsidR="006F4D4C" w:rsidRPr="001C3067" w14:paraId="7A1E69BF" w14:textId="77777777" w:rsidTr="001C3067">
        <w:trPr>
          <w:trHeight w:val="336"/>
        </w:trPr>
        <w:tc>
          <w:tcPr>
            <w:tcW w:w="4341" w:type="dxa"/>
          </w:tcPr>
          <w:p w14:paraId="7BBD5501" w14:textId="47CDA7FA"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Repeat customer rate</w:t>
            </w:r>
          </w:p>
        </w:tc>
        <w:tc>
          <w:tcPr>
            <w:tcW w:w="4341" w:type="dxa"/>
          </w:tcPr>
          <w:p w14:paraId="2972F104" w14:textId="37B1EEFF"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57.2%</w:t>
            </w:r>
          </w:p>
        </w:tc>
      </w:tr>
      <w:tr w:rsidR="006F4D4C" w:rsidRPr="001C3067" w14:paraId="4F78F21C" w14:textId="77777777" w:rsidTr="001C3067">
        <w:trPr>
          <w:trHeight w:val="336"/>
        </w:trPr>
        <w:tc>
          <w:tcPr>
            <w:tcW w:w="4341" w:type="dxa"/>
          </w:tcPr>
          <w:p w14:paraId="1F2009A2" w14:textId="402A89EC"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Returning order AOV</w:t>
            </w:r>
          </w:p>
        </w:tc>
        <w:tc>
          <w:tcPr>
            <w:tcW w:w="4341" w:type="dxa"/>
          </w:tcPr>
          <w:p w14:paraId="2B1E5C67" w14:textId="3AFA020B"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$112.96</w:t>
            </w:r>
          </w:p>
        </w:tc>
      </w:tr>
      <w:tr w:rsidR="006F4D4C" w:rsidRPr="001C3067" w14:paraId="37C05617" w14:textId="77777777" w:rsidTr="001C3067">
        <w:trPr>
          <w:trHeight w:val="368"/>
        </w:trPr>
        <w:tc>
          <w:tcPr>
            <w:tcW w:w="4341" w:type="dxa"/>
          </w:tcPr>
          <w:p w14:paraId="0BB9C768" w14:textId="242D3BA3"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New order AOV</w:t>
            </w:r>
          </w:p>
        </w:tc>
        <w:tc>
          <w:tcPr>
            <w:tcW w:w="4341" w:type="dxa"/>
          </w:tcPr>
          <w:p w14:paraId="7123A6E9" w14:textId="7655954F"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$75.50</w:t>
            </w:r>
          </w:p>
        </w:tc>
      </w:tr>
      <w:tr w:rsidR="006F4D4C" w:rsidRPr="001C3067" w14:paraId="47B01588" w14:textId="77777777" w:rsidTr="001C3067">
        <w:trPr>
          <w:trHeight w:val="336"/>
        </w:trPr>
        <w:tc>
          <w:tcPr>
            <w:tcW w:w="4341" w:type="dxa"/>
          </w:tcPr>
          <w:p w14:paraId="18F3AD8C" w14:textId="4C4DE146"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2021-2025 sales CAGR</w:t>
            </w:r>
          </w:p>
        </w:tc>
        <w:tc>
          <w:tcPr>
            <w:tcW w:w="4341" w:type="dxa"/>
          </w:tcPr>
          <w:p w14:paraId="57559353" w14:textId="62C811B8"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27.9%</w:t>
            </w:r>
          </w:p>
        </w:tc>
      </w:tr>
      <w:tr w:rsidR="006F4D4C" w:rsidRPr="001C3067" w14:paraId="5695869D" w14:textId="77777777" w:rsidTr="001C3067">
        <w:trPr>
          <w:trHeight w:val="336"/>
        </w:trPr>
        <w:tc>
          <w:tcPr>
            <w:tcW w:w="4341" w:type="dxa"/>
          </w:tcPr>
          <w:p w14:paraId="20127BE8" w14:textId="305CB123"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2028 forecast net sales</w:t>
            </w:r>
          </w:p>
        </w:tc>
        <w:tc>
          <w:tcPr>
            <w:tcW w:w="4341" w:type="dxa"/>
          </w:tcPr>
          <w:p w14:paraId="002830BA" w14:textId="6F0457C4" w:rsidR="006F4D4C" w:rsidRPr="001C3067" w:rsidRDefault="006F4D4C" w:rsidP="006F4D4C">
            <w:pPr>
              <w:rPr>
                <w:rFonts w:ascii="Arial" w:hAnsi="Arial" w:cs="Arial"/>
                <w:color w:val="000000" w:themeColor="text1"/>
                <w:sz w:val="20"/>
                <w:szCs w:val="20"/>
              </w:rPr>
            </w:pPr>
            <w:r w:rsidRPr="001C3067">
              <w:rPr>
                <w:rFonts w:ascii="Arial" w:hAnsi="Arial" w:cs="Arial"/>
                <w:color w:val="000000" w:themeColor="text1"/>
                <w:sz w:val="20"/>
                <w:szCs w:val="20"/>
              </w:rPr>
              <w:t>$7,998,665</w:t>
            </w:r>
          </w:p>
        </w:tc>
      </w:tr>
    </w:tbl>
    <w:p w14:paraId="6D005180" w14:textId="77777777" w:rsidR="009D4211" w:rsidRPr="006F4D4C" w:rsidRDefault="009D4211" w:rsidP="009D4211">
      <w:pPr>
        <w:rPr>
          <w:rFonts w:ascii="Arial" w:hAnsi="Arial" w:cs="Arial"/>
          <w:b/>
          <w:bCs/>
          <w:sz w:val="22"/>
          <w:szCs w:val="22"/>
        </w:rPr>
      </w:pPr>
    </w:p>
    <w:p w14:paraId="625C99F5" w14:textId="50FF8142" w:rsidR="009D4211" w:rsidRPr="006F4D4C" w:rsidRDefault="009D4211" w:rsidP="001C3067">
      <w:pPr>
        <w:pStyle w:val="Heading2"/>
      </w:pPr>
      <w:bookmarkStart w:id="43" w:name="_Toc236853455"/>
      <w:r w:rsidRPr="006F4D4C">
        <w:t xml:space="preserve">Appendix </w:t>
      </w:r>
      <w:r w:rsidR="006F4D4C" w:rsidRPr="006F4D4C">
        <w:t>D</w:t>
      </w:r>
      <w:r w:rsidRPr="006F4D4C">
        <w:t xml:space="preserve">: </w:t>
      </w:r>
      <w:r w:rsidR="006F4D4C" w:rsidRPr="006F4D4C">
        <w:t>Dashboard Rubric and Accessibility Checklist</w:t>
      </w:r>
      <w:bookmarkEnd w:id="43"/>
    </w:p>
    <w:tbl>
      <w:tblPr>
        <w:tblStyle w:val="TableGrid"/>
        <w:tblW w:w="9609" w:type="dxa"/>
        <w:tblLook w:val="04A0" w:firstRow="1" w:lastRow="0" w:firstColumn="1" w:lastColumn="0" w:noHBand="0" w:noVBand="1"/>
      </w:tblPr>
      <w:tblGrid>
        <w:gridCol w:w="2122"/>
        <w:gridCol w:w="3685"/>
        <w:gridCol w:w="3802"/>
      </w:tblGrid>
      <w:tr w:rsidR="006F4D4C" w:rsidRPr="001C3067" w14:paraId="52183840" w14:textId="77777777" w:rsidTr="006F4D4C">
        <w:trPr>
          <w:trHeight w:val="329"/>
        </w:trPr>
        <w:tc>
          <w:tcPr>
            <w:tcW w:w="2122" w:type="dxa"/>
            <w:vAlign w:val="center"/>
          </w:tcPr>
          <w:p w14:paraId="00CF6C23" w14:textId="0A5D3D8F" w:rsidR="006F4D4C" w:rsidRPr="001C3067" w:rsidRDefault="006F4D4C" w:rsidP="006F4D4C">
            <w:pPr>
              <w:rPr>
                <w:rFonts w:ascii="Arial" w:hAnsi="Arial" w:cs="Arial"/>
                <w:sz w:val="20"/>
                <w:szCs w:val="20"/>
              </w:rPr>
            </w:pPr>
            <w:r w:rsidRPr="001C3067">
              <w:rPr>
                <w:rFonts w:ascii="Arial" w:hAnsi="Arial" w:cs="Arial"/>
                <w:b/>
                <w:color w:val="000000" w:themeColor="text1"/>
                <w:sz w:val="20"/>
                <w:szCs w:val="20"/>
              </w:rPr>
              <w:t>Assignment expectation</w:t>
            </w:r>
          </w:p>
        </w:tc>
        <w:tc>
          <w:tcPr>
            <w:tcW w:w="3685" w:type="dxa"/>
            <w:vAlign w:val="center"/>
          </w:tcPr>
          <w:p w14:paraId="307423A1" w14:textId="360F44CE" w:rsidR="006F4D4C" w:rsidRPr="001C3067" w:rsidRDefault="006F4D4C" w:rsidP="006F4D4C">
            <w:pPr>
              <w:rPr>
                <w:rFonts w:ascii="Arial" w:hAnsi="Arial" w:cs="Arial"/>
                <w:sz w:val="20"/>
                <w:szCs w:val="20"/>
              </w:rPr>
            </w:pPr>
            <w:r w:rsidRPr="001C3067">
              <w:rPr>
                <w:rFonts w:ascii="Arial" w:hAnsi="Arial" w:cs="Arial"/>
                <w:b/>
                <w:color w:val="000000" w:themeColor="text1"/>
                <w:sz w:val="20"/>
                <w:szCs w:val="20"/>
              </w:rPr>
              <w:t>Current evidence</w:t>
            </w:r>
          </w:p>
        </w:tc>
        <w:tc>
          <w:tcPr>
            <w:tcW w:w="3802" w:type="dxa"/>
            <w:vAlign w:val="center"/>
          </w:tcPr>
          <w:p w14:paraId="728791B5" w14:textId="02CF72F9" w:rsidR="006F4D4C" w:rsidRPr="001C3067" w:rsidRDefault="006F4D4C" w:rsidP="006F4D4C">
            <w:pPr>
              <w:rPr>
                <w:rFonts w:ascii="Arial" w:hAnsi="Arial" w:cs="Arial"/>
                <w:sz w:val="20"/>
                <w:szCs w:val="20"/>
              </w:rPr>
            </w:pPr>
            <w:r w:rsidRPr="001C3067">
              <w:rPr>
                <w:rFonts w:ascii="Arial" w:hAnsi="Arial" w:cs="Arial"/>
                <w:b/>
                <w:color w:val="000000" w:themeColor="text1"/>
                <w:sz w:val="20"/>
                <w:szCs w:val="20"/>
              </w:rPr>
              <w:t>Final improvement</w:t>
            </w:r>
          </w:p>
        </w:tc>
      </w:tr>
      <w:tr w:rsidR="006F4D4C" w:rsidRPr="001C3067" w14:paraId="68FF7EFF" w14:textId="77777777" w:rsidTr="006F4D4C">
        <w:trPr>
          <w:trHeight w:val="329"/>
        </w:trPr>
        <w:tc>
          <w:tcPr>
            <w:tcW w:w="2122" w:type="dxa"/>
          </w:tcPr>
          <w:p w14:paraId="1B9C7A28" w14:textId="6B7A6FA7"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4-6 executive KPIs</w:t>
            </w:r>
          </w:p>
        </w:tc>
        <w:tc>
          <w:tcPr>
            <w:tcW w:w="3685" w:type="dxa"/>
          </w:tcPr>
          <w:p w14:paraId="5D070AD3" w14:textId="531A5886"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Sales and regional dashboards contain the required KPI coverage</w:t>
            </w:r>
          </w:p>
        </w:tc>
        <w:tc>
          <w:tcPr>
            <w:tcW w:w="3802" w:type="dxa"/>
          </w:tcPr>
          <w:p w14:paraId="723726A1" w14:textId="34C2EB04"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Limit the executive landing page to the most decision-relevant six; place supporting KPIs on detail pages</w:t>
            </w:r>
          </w:p>
        </w:tc>
      </w:tr>
      <w:tr w:rsidR="006F4D4C" w:rsidRPr="001C3067" w14:paraId="241BF2F3" w14:textId="77777777" w:rsidTr="006F4D4C">
        <w:trPr>
          <w:trHeight w:val="329"/>
        </w:trPr>
        <w:tc>
          <w:tcPr>
            <w:tcW w:w="2122" w:type="dxa"/>
          </w:tcPr>
          <w:p w14:paraId="34386218" w14:textId="34BEC63B"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8-12 visualizations</w:t>
            </w:r>
          </w:p>
        </w:tc>
        <w:tc>
          <w:tcPr>
            <w:tcW w:w="3685" w:type="dxa"/>
          </w:tcPr>
          <w:p w14:paraId="7217F0E8" w14:textId="15C78DBE"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Sales, customer, forecast, product, regional, and AOV visuals are present across dashboard pages</w:t>
            </w:r>
          </w:p>
        </w:tc>
        <w:tc>
          <w:tcPr>
            <w:tcW w:w="3802" w:type="dxa"/>
          </w:tcPr>
          <w:p w14:paraId="1B81EB58" w14:textId="2395705E"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Remove redundant visuals and ensure each chart answers a distinct business question</w:t>
            </w:r>
          </w:p>
        </w:tc>
      </w:tr>
      <w:tr w:rsidR="006F4D4C" w:rsidRPr="001C3067" w14:paraId="5481F3E4" w14:textId="77777777" w:rsidTr="006F4D4C">
        <w:trPr>
          <w:trHeight w:val="329"/>
        </w:trPr>
        <w:tc>
          <w:tcPr>
            <w:tcW w:w="2122" w:type="dxa"/>
          </w:tcPr>
          <w:p w14:paraId="27557772" w14:textId="37047E6C"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Interactivity</w:t>
            </w:r>
          </w:p>
        </w:tc>
        <w:tc>
          <w:tcPr>
            <w:tcW w:w="3685" w:type="dxa"/>
          </w:tcPr>
          <w:p w14:paraId="14D4132E" w14:textId="4272B885"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Dashboard structure supports filterable analysis</w:t>
            </w:r>
          </w:p>
        </w:tc>
        <w:tc>
          <w:tcPr>
            <w:tcW w:w="3802" w:type="dxa"/>
          </w:tcPr>
          <w:p w14:paraId="26F0791F" w14:textId="461DA480"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 xml:space="preserve">Add slicers for date, region, customer type, segment, coupon use, and product </w:t>
            </w:r>
            <w:r w:rsidRPr="001C3067">
              <w:rPr>
                <w:rFonts w:ascii="Arial" w:hAnsi="Arial" w:cs="Arial"/>
                <w:color w:val="000000" w:themeColor="text1"/>
                <w:sz w:val="20"/>
                <w:szCs w:val="20"/>
              </w:rPr>
              <w:lastRenderedPageBreak/>
              <w:t>group; add region and segment drill-through</w:t>
            </w:r>
          </w:p>
        </w:tc>
      </w:tr>
      <w:tr w:rsidR="006F4D4C" w:rsidRPr="001C3067" w14:paraId="0D8F4D4E" w14:textId="77777777" w:rsidTr="006F4D4C">
        <w:trPr>
          <w:trHeight w:val="329"/>
        </w:trPr>
        <w:tc>
          <w:tcPr>
            <w:tcW w:w="2122" w:type="dxa"/>
          </w:tcPr>
          <w:p w14:paraId="6717586A" w14:textId="7A3CA8B3"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lastRenderedPageBreak/>
              <w:t>Analytical DAX</w:t>
            </w:r>
          </w:p>
        </w:tc>
        <w:tc>
          <w:tcPr>
            <w:tcW w:w="3685" w:type="dxa"/>
          </w:tcPr>
          <w:p w14:paraId="05A7D71E" w14:textId="0420D1F1"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Completed sales, orders, AOV, repeat rate, target gap, and opportunity measures are represented</w:t>
            </w:r>
          </w:p>
        </w:tc>
        <w:tc>
          <w:tcPr>
            <w:tcW w:w="3802" w:type="dxa"/>
          </w:tcPr>
          <w:p w14:paraId="12F45000" w14:textId="7A22C837"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Add explicit measure descriptions, filter context, and validation against Python outputs</w:t>
            </w:r>
          </w:p>
        </w:tc>
      </w:tr>
      <w:tr w:rsidR="006F4D4C" w:rsidRPr="001C3067" w14:paraId="7697C369" w14:textId="77777777" w:rsidTr="006F4D4C">
        <w:trPr>
          <w:trHeight w:val="329"/>
        </w:trPr>
        <w:tc>
          <w:tcPr>
            <w:tcW w:w="2122" w:type="dxa"/>
          </w:tcPr>
          <w:p w14:paraId="4305A76C" w14:textId="2367D2A1"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Trend indicators</w:t>
            </w:r>
          </w:p>
        </w:tc>
        <w:tc>
          <w:tcPr>
            <w:tcW w:w="3685" w:type="dxa"/>
          </w:tcPr>
          <w:p w14:paraId="4AF4B592" w14:textId="61082C80"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Historical and forecast lines are present</w:t>
            </w:r>
          </w:p>
        </w:tc>
        <w:tc>
          <w:tcPr>
            <w:tcW w:w="3802" w:type="dxa"/>
          </w:tcPr>
          <w:p w14:paraId="28E68BFD" w14:textId="11A00551"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Add forecast variance, target variance, and direction icons with accessible labels</w:t>
            </w:r>
          </w:p>
        </w:tc>
      </w:tr>
      <w:tr w:rsidR="006F4D4C" w:rsidRPr="001C3067" w14:paraId="5E74A4C9" w14:textId="77777777" w:rsidTr="006F4D4C">
        <w:trPr>
          <w:trHeight w:val="329"/>
        </w:trPr>
        <w:tc>
          <w:tcPr>
            <w:tcW w:w="2122" w:type="dxa"/>
          </w:tcPr>
          <w:p w14:paraId="0B42DC08" w14:textId="42F8AD99"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Accessibility</w:t>
            </w:r>
          </w:p>
        </w:tc>
        <w:tc>
          <w:tcPr>
            <w:tcW w:w="3685" w:type="dxa"/>
          </w:tcPr>
          <w:p w14:paraId="1EFFCA97" w14:textId="592890C3"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Blue/orange palette generally provides clear contrast</w:t>
            </w:r>
          </w:p>
        </w:tc>
        <w:tc>
          <w:tcPr>
            <w:tcW w:w="3802" w:type="dxa"/>
          </w:tcPr>
          <w:p w14:paraId="560BD8B9" w14:textId="04465BF0"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Add alt text, keyboard order, meaningful titles, non-colour cues, larger labels, and consistent number formatting</w:t>
            </w:r>
          </w:p>
        </w:tc>
      </w:tr>
      <w:tr w:rsidR="006F4D4C" w:rsidRPr="001C3067" w14:paraId="0025645C" w14:textId="77777777" w:rsidTr="006F4D4C">
        <w:trPr>
          <w:trHeight w:val="329"/>
        </w:trPr>
        <w:tc>
          <w:tcPr>
            <w:tcW w:w="2122" w:type="dxa"/>
          </w:tcPr>
          <w:p w14:paraId="754E526C" w14:textId="1A41CA86"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Story integration</w:t>
            </w:r>
          </w:p>
        </w:tc>
        <w:tc>
          <w:tcPr>
            <w:tcW w:w="3685" w:type="dxa"/>
          </w:tcPr>
          <w:p w14:paraId="58BD0054" w14:textId="69034354"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Dashboard findings align with the report’s growth, retention, and regional themes</w:t>
            </w:r>
          </w:p>
        </w:tc>
        <w:tc>
          <w:tcPr>
            <w:tcW w:w="3802" w:type="dxa"/>
          </w:tcPr>
          <w:p w14:paraId="65C28389" w14:textId="3D3AE6C0" w:rsidR="006F4D4C" w:rsidRPr="001C3067" w:rsidRDefault="006F4D4C" w:rsidP="006F4D4C">
            <w:pPr>
              <w:rPr>
                <w:rFonts w:ascii="Arial" w:hAnsi="Arial" w:cs="Arial"/>
                <w:sz w:val="20"/>
                <w:szCs w:val="20"/>
              </w:rPr>
            </w:pPr>
            <w:r w:rsidRPr="001C3067">
              <w:rPr>
                <w:rFonts w:ascii="Arial" w:hAnsi="Arial" w:cs="Arial"/>
                <w:color w:val="000000" w:themeColor="text1"/>
                <w:sz w:val="20"/>
                <w:szCs w:val="20"/>
              </w:rPr>
              <w:t>Use the same KPI names, target definitions, and recommendations in slides and report</w:t>
            </w:r>
          </w:p>
        </w:tc>
      </w:tr>
    </w:tbl>
    <w:p w14:paraId="4CF14E9D" w14:textId="77777777" w:rsidR="006F4D4C" w:rsidRPr="001C3067" w:rsidRDefault="006F4D4C">
      <w:pPr>
        <w:rPr>
          <w:rFonts w:ascii="Arial" w:hAnsi="Arial" w:cs="Arial"/>
          <w:sz w:val="20"/>
          <w:szCs w:val="20"/>
        </w:rPr>
      </w:pPr>
    </w:p>
    <w:p w14:paraId="066E69B4" w14:textId="77777777" w:rsidR="006F4D4C" w:rsidRPr="006F4D4C" w:rsidRDefault="006F4D4C" w:rsidP="001C3067">
      <w:pPr>
        <w:pStyle w:val="Heading3"/>
      </w:pPr>
      <w:bookmarkStart w:id="44" w:name="_Toc236853456"/>
      <w:r w:rsidRPr="006F4D4C">
        <w:t>Suggested Executive Dashboard Navigation</w:t>
      </w:r>
      <w:bookmarkEnd w:id="44"/>
    </w:p>
    <w:p w14:paraId="15FD4036" w14:textId="77777777" w:rsidR="006F4D4C" w:rsidRPr="006F4D4C" w:rsidRDefault="006F4D4C" w:rsidP="006F4D4C">
      <w:pPr>
        <w:pStyle w:val="ListBullet"/>
        <w:numPr>
          <w:ilvl w:val="0"/>
          <w:numId w:val="13"/>
        </w:numPr>
        <w:spacing w:after="0"/>
        <w:rPr>
          <w:rFonts w:cs="Arial"/>
          <w:color w:val="000000" w:themeColor="text1"/>
          <w:sz w:val="22"/>
        </w:rPr>
      </w:pPr>
      <w:r w:rsidRPr="006F4D4C">
        <w:rPr>
          <w:rFonts w:cs="Arial"/>
          <w:color w:val="000000" w:themeColor="text1"/>
          <w:sz w:val="22"/>
        </w:rPr>
        <w:t>Page 1 - Executive overview: completed net sales, orders, weighted AOV, repeat rate, target gap, and forecast variance.</w:t>
      </w:r>
    </w:p>
    <w:p w14:paraId="0DCC4B9E" w14:textId="77777777" w:rsidR="006F4D4C" w:rsidRPr="006F4D4C" w:rsidRDefault="006F4D4C" w:rsidP="006F4D4C">
      <w:pPr>
        <w:pStyle w:val="ListBullet"/>
        <w:numPr>
          <w:ilvl w:val="0"/>
          <w:numId w:val="13"/>
        </w:numPr>
        <w:spacing w:after="0"/>
        <w:rPr>
          <w:rFonts w:cs="Arial"/>
          <w:color w:val="000000" w:themeColor="text1"/>
          <w:sz w:val="22"/>
        </w:rPr>
      </w:pPr>
      <w:r w:rsidRPr="006F4D4C">
        <w:rPr>
          <w:rFonts w:cs="Arial"/>
          <w:color w:val="000000" w:themeColor="text1"/>
          <w:sz w:val="22"/>
        </w:rPr>
        <w:t>Page 2 - Customer growth: new versus returning, segment contribution, second-purchase funnel, coupon dependence, and top products.</w:t>
      </w:r>
    </w:p>
    <w:p w14:paraId="1DFCE858" w14:textId="77777777" w:rsidR="006F4D4C" w:rsidRPr="006F4D4C" w:rsidRDefault="006F4D4C" w:rsidP="006F4D4C">
      <w:pPr>
        <w:pStyle w:val="ListBullet"/>
        <w:numPr>
          <w:ilvl w:val="0"/>
          <w:numId w:val="13"/>
        </w:numPr>
        <w:spacing w:after="0"/>
        <w:rPr>
          <w:rFonts w:cs="Arial"/>
          <w:color w:val="000000" w:themeColor="text1"/>
          <w:sz w:val="22"/>
        </w:rPr>
      </w:pPr>
      <w:r w:rsidRPr="006F4D4C">
        <w:rPr>
          <w:rFonts w:cs="Arial"/>
          <w:color w:val="000000" w:themeColor="text1"/>
          <w:sz w:val="22"/>
        </w:rPr>
        <w:t>Page 3 - Regional opportunity: priority score, reach-versus-difficulty, regional AOV, addressable gap, and drill-through detail.</w:t>
      </w:r>
    </w:p>
    <w:p w14:paraId="5517E20F" w14:textId="387FE83B" w:rsidR="006F4D4C" w:rsidRPr="006F4D4C" w:rsidRDefault="006F4D4C" w:rsidP="006F4D4C">
      <w:pPr>
        <w:pStyle w:val="ListBullet"/>
        <w:numPr>
          <w:ilvl w:val="0"/>
          <w:numId w:val="13"/>
        </w:numPr>
        <w:spacing w:after="0"/>
        <w:rPr>
          <w:rFonts w:cs="Arial"/>
          <w:color w:val="000000" w:themeColor="text1"/>
          <w:sz w:val="22"/>
        </w:rPr>
      </w:pPr>
      <w:r w:rsidRPr="006F4D4C">
        <w:rPr>
          <w:rFonts w:cs="Arial"/>
          <w:color w:val="000000" w:themeColor="text1"/>
          <w:sz w:val="22"/>
        </w:rPr>
        <w:t>Page 4 - Data and ethics: metric definitions, data freshness, exclusions, privacy notes, age-eligibility reminder, and forecast limitations.</w:t>
      </w:r>
    </w:p>
    <w:p w14:paraId="0149212F" w14:textId="77777777" w:rsidR="006F4D4C" w:rsidRPr="006F4D4C" w:rsidRDefault="006F4D4C" w:rsidP="006F4D4C">
      <w:pPr>
        <w:rPr>
          <w:rFonts w:ascii="Arial" w:hAnsi="Arial" w:cs="Arial"/>
          <w:sz w:val="22"/>
          <w:szCs w:val="22"/>
        </w:rPr>
      </w:pPr>
    </w:p>
    <w:p w14:paraId="21F14206" w14:textId="77777777" w:rsidR="00753FE5" w:rsidRDefault="00753FE5" w:rsidP="001C3067">
      <w:pPr>
        <w:pStyle w:val="Heading1"/>
      </w:pPr>
    </w:p>
    <w:p w14:paraId="79743D5A" w14:textId="77777777" w:rsidR="00753FE5" w:rsidRDefault="00753FE5" w:rsidP="001C3067">
      <w:pPr>
        <w:pStyle w:val="Heading1"/>
      </w:pPr>
    </w:p>
    <w:p w14:paraId="0F7B1D39" w14:textId="77777777" w:rsidR="00753FE5" w:rsidRDefault="00753FE5" w:rsidP="001C3067">
      <w:pPr>
        <w:pStyle w:val="Heading1"/>
      </w:pPr>
    </w:p>
    <w:p w14:paraId="4914DC1B" w14:textId="77777777" w:rsidR="00753FE5" w:rsidRDefault="00753FE5" w:rsidP="001C3067">
      <w:pPr>
        <w:pStyle w:val="Heading1"/>
      </w:pPr>
    </w:p>
    <w:p w14:paraId="3441AE5E" w14:textId="77777777" w:rsidR="00753FE5" w:rsidRDefault="00753FE5">
      <w:pPr>
        <w:spacing w:line="278" w:lineRule="auto"/>
        <w:rPr>
          <w:rFonts w:asciiTheme="majorHAnsi" w:eastAsiaTheme="majorEastAsia" w:hAnsiTheme="majorHAnsi" w:cstheme="majorBidi"/>
          <w:color w:val="0F4761" w:themeColor="accent1" w:themeShade="BF"/>
          <w:sz w:val="40"/>
          <w:szCs w:val="40"/>
        </w:rPr>
      </w:pPr>
      <w:r>
        <w:br w:type="page"/>
      </w:r>
    </w:p>
    <w:p w14:paraId="27FFEFD8" w14:textId="589A587E" w:rsidR="006F4D4C" w:rsidRPr="006F4D4C" w:rsidRDefault="006F4D4C" w:rsidP="001C3067">
      <w:pPr>
        <w:pStyle w:val="Heading1"/>
      </w:pPr>
      <w:bookmarkStart w:id="45" w:name="_Toc236853457"/>
      <w:r w:rsidRPr="006F4D4C">
        <w:lastRenderedPageBreak/>
        <w:t>REFERENCES</w:t>
      </w:r>
      <w:bookmarkEnd w:id="45"/>
    </w:p>
    <w:p w14:paraId="286085F1" w14:textId="77777777" w:rsidR="006F4D4C" w:rsidRPr="006F4D4C" w:rsidRDefault="006F4D4C" w:rsidP="006F4D4C">
      <w:pPr>
        <w:pStyle w:val="References"/>
        <w:spacing w:after="0" w:line="480" w:lineRule="auto"/>
        <w:ind w:left="720" w:hanging="720"/>
        <w:rPr>
          <w:rFonts w:cs="Arial"/>
          <w:color w:val="000000" w:themeColor="text1"/>
        </w:rPr>
      </w:pPr>
      <w:r w:rsidRPr="006F4D4C">
        <w:rPr>
          <w:rFonts w:cs="Arial"/>
          <w:color w:val="000000" w:themeColor="text1"/>
        </w:rPr>
        <w:t xml:space="preserve">Canada Vapes. (2026a). </w:t>
      </w:r>
      <w:r w:rsidRPr="006F4D4C">
        <w:rPr>
          <w:rFonts w:cs="Arial"/>
          <w:i/>
          <w:color w:val="000000" w:themeColor="text1"/>
        </w:rPr>
        <w:t>Cleaned sales data with identifiers</w:t>
      </w:r>
      <w:r w:rsidRPr="006F4D4C">
        <w:rPr>
          <w:rFonts w:cs="Arial"/>
          <w:color w:val="000000" w:themeColor="text1"/>
        </w:rPr>
        <w:t xml:space="preserve"> [Unpublished internal data set].</w:t>
      </w:r>
    </w:p>
    <w:p w14:paraId="19FF2B18" w14:textId="77777777" w:rsidR="006F4D4C" w:rsidRPr="006F4D4C" w:rsidRDefault="006F4D4C" w:rsidP="006F4D4C">
      <w:pPr>
        <w:pStyle w:val="References"/>
        <w:spacing w:after="0" w:line="480" w:lineRule="auto"/>
        <w:ind w:left="720" w:hanging="720"/>
        <w:rPr>
          <w:rFonts w:cs="Arial"/>
          <w:color w:val="000000" w:themeColor="text1"/>
        </w:rPr>
      </w:pPr>
      <w:r w:rsidRPr="006F4D4C">
        <w:rPr>
          <w:rFonts w:cs="Arial"/>
          <w:color w:val="000000" w:themeColor="text1"/>
        </w:rPr>
        <w:t xml:space="preserve">Canada Vapes. (2026b). </w:t>
      </w:r>
      <w:r w:rsidRPr="006F4D4C">
        <w:rPr>
          <w:rFonts w:cs="Arial"/>
          <w:i/>
          <w:color w:val="000000" w:themeColor="text1"/>
        </w:rPr>
        <w:t>Three-year sales forecast</w:t>
      </w:r>
      <w:r w:rsidRPr="006F4D4C">
        <w:rPr>
          <w:rFonts w:cs="Arial"/>
          <w:color w:val="000000" w:themeColor="text1"/>
        </w:rPr>
        <w:t xml:space="preserve"> [Unpublished internal forecast data set].</w:t>
      </w:r>
    </w:p>
    <w:p w14:paraId="6D250890" w14:textId="77777777" w:rsidR="006F4D4C" w:rsidRPr="006F4D4C" w:rsidRDefault="006F4D4C" w:rsidP="006F4D4C">
      <w:pPr>
        <w:pStyle w:val="References"/>
        <w:spacing w:after="0" w:line="480" w:lineRule="auto"/>
        <w:ind w:left="720" w:hanging="720"/>
        <w:rPr>
          <w:rFonts w:cs="Arial"/>
          <w:color w:val="000000" w:themeColor="text1"/>
        </w:rPr>
      </w:pPr>
      <w:r w:rsidRPr="006F4D4C">
        <w:rPr>
          <w:rFonts w:cs="Arial"/>
          <w:color w:val="000000" w:themeColor="text1"/>
        </w:rPr>
        <w:t xml:space="preserve">Health Canada. (2020). </w:t>
      </w:r>
      <w:r w:rsidRPr="006F4D4C">
        <w:rPr>
          <w:rFonts w:cs="Arial"/>
          <w:i/>
          <w:color w:val="000000" w:themeColor="text1"/>
        </w:rPr>
        <w:t>Vaping products promotion regulations: Information sheet</w:t>
      </w:r>
      <w:r w:rsidRPr="006F4D4C">
        <w:rPr>
          <w:rFonts w:cs="Arial"/>
          <w:color w:val="000000" w:themeColor="text1"/>
        </w:rPr>
        <w:t xml:space="preserve">. </w:t>
      </w:r>
      <w:hyperlink r:id="rId14">
        <w:r w:rsidRPr="006F4D4C">
          <w:rPr>
            <w:rFonts w:cs="Arial"/>
            <w:color w:val="000000" w:themeColor="text1"/>
            <w:u w:val="single"/>
          </w:rPr>
          <w:t>https://www.canada.ca/en/health-canada/services/smoking-tobacco/vaping/product-safety-regulation/vaping-products-promotion-regulations-information-sheet.html</w:t>
        </w:r>
      </w:hyperlink>
    </w:p>
    <w:p w14:paraId="40C67C24" w14:textId="77777777" w:rsidR="006F4D4C" w:rsidRPr="006F4D4C" w:rsidRDefault="006F4D4C" w:rsidP="006F4D4C">
      <w:pPr>
        <w:pStyle w:val="References"/>
        <w:spacing w:after="0" w:line="480" w:lineRule="auto"/>
        <w:ind w:left="720" w:hanging="720"/>
        <w:rPr>
          <w:rFonts w:cs="Arial"/>
          <w:color w:val="000000" w:themeColor="text1"/>
        </w:rPr>
      </w:pPr>
      <w:r w:rsidRPr="006F4D4C">
        <w:rPr>
          <w:rFonts w:cs="Arial"/>
          <w:color w:val="000000" w:themeColor="text1"/>
        </w:rPr>
        <w:t xml:space="preserve">International Organization for Standardization. (2008). </w:t>
      </w:r>
      <w:r w:rsidRPr="006F4D4C">
        <w:rPr>
          <w:rFonts w:cs="Arial"/>
          <w:i/>
          <w:color w:val="000000" w:themeColor="text1"/>
        </w:rPr>
        <w:t>Software engineering—Software product quality requirements and evaluation (</w:t>
      </w:r>
      <w:proofErr w:type="spellStart"/>
      <w:r w:rsidRPr="006F4D4C">
        <w:rPr>
          <w:rFonts w:cs="Arial"/>
          <w:i/>
          <w:color w:val="000000" w:themeColor="text1"/>
        </w:rPr>
        <w:t>SQuaRE</w:t>
      </w:r>
      <w:proofErr w:type="spellEnd"/>
      <w:r w:rsidRPr="006F4D4C">
        <w:rPr>
          <w:rFonts w:cs="Arial"/>
          <w:i/>
          <w:color w:val="000000" w:themeColor="text1"/>
        </w:rPr>
        <w:t>)—Data quality model (ISO/IEC Standard No. 25012:2008)</w:t>
      </w:r>
      <w:r w:rsidRPr="006F4D4C">
        <w:rPr>
          <w:rFonts w:cs="Arial"/>
          <w:color w:val="000000" w:themeColor="text1"/>
        </w:rPr>
        <w:t xml:space="preserve">. </w:t>
      </w:r>
      <w:hyperlink r:id="rId15">
        <w:r w:rsidRPr="006F4D4C">
          <w:rPr>
            <w:rFonts w:cs="Arial"/>
            <w:color w:val="000000" w:themeColor="text1"/>
            <w:u w:val="single"/>
          </w:rPr>
          <w:t>https://www.iso.org/standard/35736.html</w:t>
        </w:r>
      </w:hyperlink>
    </w:p>
    <w:p w14:paraId="19954646" w14:textId="77777777" w:rsidR="006F4D4C" w:rsidRPr="006F4D4C" w:rsidRDefault="006F4D4C" w:rsidP="006F4D4C">
      <w:pPr>
        <w:pStyle w:val="References"/>
        <w:spacing w:after="0" w:line="480" w:lineRule="auto"/>
        <w:ind w:left="720" w:hanging="720"/>
        <w:rPr>
          <w:rFonts w:cs="Arial"/>
          <w:color w:val="000000" w:themeColor="text1"/>
        </w:rPr>
      </w:pPr>
      <w:r w:rsidRPr="006F4D4C">
        <w:rPr>
          <w:rFonts w:cs="Arial"/>
          <w:color w:val="000000" w:themeColor="text1"/>
        </w:rPr>
        <w:t xml:space="preserve">Microsoft. (n.d.). </w:t>
      </w:r>
      <w:r w:rsidRPr="006F4D4C">
        <w:rPr>
          <w:rFonts w:cs="Arial"/>
          <w:i/>
          <w:color w:val="000000" w:themeColor="text1"/>
        </w:rPr>
        <w:t>Power BI documentation</w:t>
      </w:r>
      <w:r w:rsidRPr="006F4D4C">
        <w:rPr>
          <w:rFonts w:cs="Arial"/>
          <w:color w:val="000000" w:themeColor="text1"/>
        </w:rPr>
        <w:t xml:space="preserve">. </w:t>
      </w:r>
      <w:hyperlink r:id="rId16">
        <w:r w:rsidRPr="006F4D4C">
          <w:rPr>
            <w:rFonts w:cs="Arial"/>
            <w:color w:val="000000" w:themeColor="text1"/>
            <w:u w:val="single"/>
          </w:rPr>
          <w:t>https://learn.microsoft.com/power-bi/</w:t>
        </w:r>
      </w:hyperlink>
    </w:p>
    <w:p w14:paraId="0EB5B311" w14:textId="77777777" w:rsidR="006F4D4C" w:rsidRPr="006F4D4C" w:rsidRDefault="006F4D4C" w:rsidP="006F4D4C">
      <w:pPr>
        <w:pStyle w:val="References"/>
        <w:spacing w:after="0" w:line="480" w:lineRule="auto"/>
        <w:ind w:left="720" w:hanging="720"/>
        <w:rPr>
          <w:rFonts w:cs="Arial"/>
          <w:color w:val="000000" w:themeColor="text1"/>
        </w:rPr>
      </w:pPr>
      <w:r w:rsidRPr="006F4D4C">
        <w:rPr>
          <w:rFonts w:cs="Arial"/>
          <w:color w:val="000000" w:themeColor="text1"/>
        </w:rPr>
        <w:t xml:space="preserve">Office of the Privacy Commissioner of Canada. (2025). </w:t>
      </w:r>
      <w:r w:rsidRPr="006F4D4C">
        <w:rPr>
          <w:rFonts w:cs="Arial"/>
          <w:i/>
          <w:color w:val="000000" w:themeColor="text1"/>
        </w:rPr>
        <w:t>PIPEDA fair information principles</w:t>
      </w:r>
      <w:r w:rsidRPr="006F4D4C">
        <w:rPr>
          <w:rFonts w:cs="Arial"/>
          <w:color w:val="000000" w:themeColor="text1"/>
        </w:rPr>
        <w:t xml:space="preserve">. </w:t>
      </w:r>
      <w:hyperlink r:id="rId17">
        <w:r w:rsidRPr="006F4D4C">
          <w:rPr>
            <w:rFonts w:cs="Arial"/>
            <w:color w:val="000000" w:themeColor="text1"/>
            <w:u w:val="single"/>
          </w:rPr>
          <w:t>https://www.priv.gc.ca/en/privacy-topics/privacy-laws-in-canada/the-personal-information-protection-and-electronic-documents-act-pipeda/p_principle/</w:t>
        </w:r>
      </w:hyperlink>
    </w:p>
    <w:p w14:paraId="6BA33929" w14:textId="77777777" w:rsidR="006F4D4C" w:rsidRPr="006F4D4C" w:rsidRDefault="006F4D4C" w:rsidP="006F4D4C">
      <w:pPr>
        <w:pStyle w:val="References"/>
        <w:spacing w:after="0" w:line="480" w:lineRule="auto"/>
        <w:ind w:left="720" w:hanging="720"/>
        <w:rPr>
          <w:rFonts w:cs="Arial"/>
          <w:color w:val="000000" w:themeColor="text1"/>
        </w:rPr>
      </w:pPr>
      <w:r w:rsidRPr="006F4D4C">
        <w:rPr>
          <w:rFonts w:cs="Arial"/>
          <w:color w:val="000000" w:themeColor="text1"/>
        </w:rPr>
        <w:t xml:space="preserve">The </w:t>
      </w:r>
      <w:proofErr w:type="gramStart"/>
      <w:r w:rsidRPr="006F4D4C">
        <w:rPr>
          <w:rFonts w:cs="Arial"/>
          <w:color w:val="000000" w:themeColor="text1"/>
        </w:rPr>
        <w:t>pandas</w:t>
      </w:r>
      <w:proofErr w:type="gramEnd"/>
      <w:r w:rsidRPr="006F4D4C">
        <w:rPr>
          <w:rFonts w:cs="Arial"/>
          <w:color w:val="000000" w:themeColor="text1"/>
        </w:rPr>
        <w:t xml:space="preserve"> development team. (n.d.). </w:t>
      </w:r>
      <w:proofErr w:type="gramStart"/>
      <w:r w:rsidRPr="006F4D4C">
        <w:rPr>
          <w:rFonts w:cs="Arial"/>
          <w:i/>
          <w:color w:val="000000" w:themeColor="text1"/>
        </w:rPr>
        <w:t>pandas</w:t>
      </w:r>
      <w:proofErr w:type="gramEnd"/>
      <w:r w:rsidRPr="006F4D4C">
        <w:rPr>
          <w:rFonts w:cs="Arial"/>
          <w:i/>
          <w:color w:val="000000" w:themeColor="text1"/>
        </w:rPr>
        <w:t xml:space="preserve"> documentation</w:t>
      </w:r>
      <w:r w:rsidRPr="006F4D4C">
        <w:rPr>
          <w:rFonts w:cs="Arial"/>
          <w:color w:val="000000" w:themeColor="text1"/>
        </w:rPr>
        <w:t xml:space="preserve">. </w:t>
      </w:r>
      <w:hyperlink r:id="rId18">
        <w:r w:rsidRPr="006F4D4C">
          <w:rPr>
            <w:rFonts w:cs="Arial"/>
            <w:color w:val="000000" w:themeColor="text1"/>
            <w:u w:val="single"/>
          </w:rPr>
          <w:t>https://pandas.pydata.org/docs/</w:t>
        </w:r>
      </w:hyperlink>
    </w:p>
    <w:p w14:paraId="6FD4DD9E" w14:textId="77777777" w:rsidR="006F4D4C" w:rsidRPr="006F4D4C" w:rsidRDefault="006F4D4C" w:rsidP="006F4D4C">
      <w:pPr>
        <w:pStyle w:val="References"/>
        <w:spacing w:after="0" w:line="480" w:lineRule="auto"/>
        <w:ind w:left="720" w:hanging="720"/>
        <w:rPr>
          <w:rFonts w:cs="Arial"/>
          <w:color w:val="000000" w:themeColor="text1"/>
        </w:rPr>
      </w:pPr>
      <w:r w:rsidRPr="006F4D4C">
        <w:rPr>
          <w:rFonts w:cs="Arial"/>
          <w:color w:val="000000" w:themeColor="text1"/>
        </w:rPr>
        <w:t xml:space="preserve">Python Software Foundation. (n.d.). </w:t>
      </w:r>
      <w:r w:rsidRPr="006F4D4C">
        <w:rPr>
          <w:rFonts w:cs="Arial"/>
          <w:i/>
          <w:color w:val="000000" w:themeColor="text1"/>
        </w:rPr>
        <w:t>Python documentation</w:t>
      </w:r>
      <w:r w:rsidRPr="006F4D4C">
        <w:rPr>
          <w:rFonts w:cs="Arial"/>
          <w:color w:val="000000" w:themeColor="text1"/>
        </w:rPr>
        <w:t xml:space="preserve">. </w:t>
      </w:r>
      <w:hyperlink r:id="rId19">
        <w:r w:rsidRPr="006F4D4C">
          <w:rPr>
            <w:rFonts w:cs="Arial"/>
            <w:color w:val="000000" w:themeColor="text1"/>
            <w:u w:val="single"/>
          </w:rPr>
          <w:t>https://docs.python.org/3/</w:t>
        </w:r>
      </w:hyperlink>
    </w:p>
    <w:p w14:paraId="1A994EBD" w14:textId="77777777" w:rsidR="006F4D4C" w:rsidRPr="006F4D4C" w:rsidRDefault="006F4D4C">
      <w:pPr>
        <w:rPr>
          <w:rFonts w:ascii="Arial" w:hAnsi="Arial" w:cs="Arial"/>
          <w:sz w:val="22"/>
          <w:szCs w:val="22"/>
        </w:rPr>
      </w:pPr>
    </w:p>
    <w:sectPr w:rsidR="006F4D4C" w:rsidRPr="006F4D4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B579A" w14:textId="77777777" w:rsidR="004D5131" w:rsidRDefault="004D5131" w:rsidP="00E411A8">
      <w:pPr>
        <w:spacing w:after="0" w:line="240" w:lineRule="auto"/>
      </w:pPr>
      <w:r>
        <w:separator/>
      </w:r>
    </w:p>
  </w:endnote>
  <w:endnote w:type="continuationSeparator" w:id="0">
    <w:p w14:paraId="147A39BB" w14:textId="77777777" w:rsidR="004D5131" w:rsidRDefault="004D5131" w:rsidP="00E41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ist Fallback">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58A74" w14:textId="77777777" w:rsidR="004D5131" w:rsidRDefault="004D5131" w:rsidP="00E411A8">
      <w:pPr>
        <w:spacing w:after="0" w:line="240" w:lineRule="auto"/>
      </w:pPr>
      <w:r>
        <w:separator/>
      </w:r>
    </w:p>
  </w:footnote>
  <w:footnote w:type="continuationSeparator" w:id="0">
    <w:p w14:paraId="2D2501E3" w14:textId="77777777" w:rsidR="004D5131" w:rsidRDefault="004D5131" w:rsidP="00E41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CC0EE7E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1D743A"/>
    <w:multiLevelType w:val="hybridMultilevel"/>
    <w:tmpl w:val="3ECED4CC"/>
    <w:lvl w:ilvl="0" w:tplc="20E413F4">
      <w:start w:val="1"/>
      <w:numFmt w:val="decimal"/>
      <w:lvlText w:val="%1."/>
      <w:lvlJc w:val="left"/>
      <w:pPr>
        <w:ind w:left="720" w:hanging="360"/>
      </w:pPr>
      <w:rPr>
        <w:rFonts w:ascii="Geist Fallback" w:hAnsi="Geist Fallback" w:cstheme="minorBidi"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260A4"/>
    <w:multiLevelType w:val="multilevel"/>
    <w:tmpl w:val="5BE6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A87C75"/>
    <w:multiLevelType w:val="hybridMultilevel"/>
    <w:tmpl w:val="E76A93D4"/>
    <w:lvl w:ilvl="0" w:tplc="20E413F4">
      <w:start w:val="1"/>
      <w:numFmt w:val="decimal"/>
      <w:lvlText w:val="%1."/>
      <w:lvlJc w:val="left"/>
      <w:pPr>
        <w:ind w:left="720" w:hanging="360"/>
      </w:pPr>
      <w:rPr>
        <w:rFonts w:ascii="Geist Fallback" w:hAnsi="Geist Fallback" w:cstheme="minorBidi"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233E66"/>
    <w:multiLevelType w:val="hybridMultilevel"/>
    <w:tmpl w:val="14324708"/>
    <w:lvl w:ilvl="0" w:tplc="20E413F4">
      <w:start w:val="1"/>
      <w:numFmt w:val="decimal"/>
      <w:lvlText w:val="%1."/>
      <w:lvlJc w:val="left"/>
      <w:pPr>
        <w:ind w:left="720" w:hanging="360"/>
      </w:pPr>
      <w:rPr>
        <w:rFonts w:ascii="Geist Fallback" w:hAnsi="Geist Fallback" w:cstheme="minorBidi"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8C134A"/>
    <w:multiLevelType w:val="hybridMultilevel"/>
    <w:tmpl w:val="5CEC2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FD27C8"/>
    <w:multiLevelType w:val="hybridMultilevel"/>
    <w:tmpl w:val="CCA0D20C"/>
    <w:lvl w:ilvl="0" w:tplc="20E413F4">
      <w:start w:val="1"/>
      <w:numFmt w:val="decimal"/>
      <w:lvlText w:val="%1."/>
      <w:lvlJc w:val="left"/>
      <w:pPr>
        <w:ind w:left="720" w:hanging="360"/>
      </w:pPr>
      <w:rPr>
        <w:rFonts w:ascii="Geist Fallback" w:hAnsi="Geist Fallback" w:cstheme="minorBidi"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443609"/>
    <w:multiLevelType w:val="hybridMultilevel"/>
    <w:tmpl w:val="88D00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4F4C77"/>
    <w:multiLevelType w:val="hybridMultilevel"/>
    <w:tmpl w:val="82383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E5DE0"/>
    <w:multiLevelType w:val="multilevel"/>
    <w:tmpl w:val="2E08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694CA7"/>
    <w:multiLevelType w:val="hybridMultilevel"/>
    <w:tmpl w:val="E9BC5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945E18"/>
    <w:multiLevelType w:val="hybridMultilevel"/>
    <w:tmpl w:val="F9A4A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074153">
    <w:abstractNumId w:val="10"/>
  </w:num>
  <w:num w:numId="2" w16cid:durableId="1281304029">
    <w:abstractNumId w:val="3"/>
  </w:num>
  <w:num w:numId="3" w16cid:durableId="928780295">
    <w:abstractNumId w:val="7"/>
  </w:num>
  <w:num w:numId="4" w16cid:durableId="898596464">
    <w:abstractNumId w:val="11"/>
  </w:num>
  <w:num w:numId="5" w16cid:durableId="1344941949">
    <w:abstractNumId w:val="2"/>
  </w:num>
  <w:num w:numId="6" w16cid:durableId="2137214614">
    <w:abstractNumId w:val="1"/>
  </w:num>
  <w:num w:numId="7" w16cid:durableId="1599756573">
    <w:abstractNumId w:val="12"/>
  </w:num>
  <w:num w:numId="8" w16cid:durableId="1199246857">
    <w:abstractNumId w:val="5"/>
  </w:num>
  <w:num w:numId="9" w16cid:durableId="159082760">
    <w:abstractNumId w:val="4"/>
  </w:num>
  <w:num w:numId="10" w16cid:durableId="1940336969">
    <w:abstractNumId w:val="0"/>
  </w:num>
  <w:num w:numId="11" w16cid:durableId="317340887">
    <w:abstractNumId w:val="9"/>
  </w:num>
  <w:num w:numId="12" w16cid:durableId="1168866366">
    <w:abstractNumId w:val="6"/>
  </w:num>
  <w:num w:numId="13" w16cid:durableId="1244728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22"/>
    <w:rsid w:val="001C3067"/>
    <w:rsid w:val="002E1A50"/>
    <w:rsid w:val="004775F7"/>
    <w:rsid w:val="004D5131"/>
    <w:rsid w:val="00681412"/>
    <w:rsid w:val="00695E08"/>
    <w:rsid w:val="006C7222"/>
    <w:rsid w:val="006F4D4C"/>
    <w:rsid w:val="00716E2A"/>
    <w:rsid w:val="00753FE5"/>
    <w:rsid w:val="0075446E"/>
    <w:rsid w:val="00760B92"/>
    <w:rsid w:val="00794B0A"/>
    <w:rsid w:val="00856F00"/>
    <w:rsid w:val="00892A7F"/>
    <w:rsid w:val="0091402F"/>
    <w:rsid w:val="009D4211"/>
    <w:rsid w:val="00A1564E"/>
    <w:rsid w:val="00AE7A68"/>
    <w:rsid w:val="00C32A54"/>
    <w:rsid w:val="00C878A6"/>
    <w:rsid w:val="00E411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50DA76"/>
  <w15:chartTrackingRefBased/>
  <w15:docId w15:val="{F297BED9-507F-AE42-AEDB-C9EE266D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222"/>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6C7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222"/>
    <w:rPr>
      <w:rFonts w:eastAsiaTheme="majorEastAsia" w:cstheme="majorBidi"/>
      <w:color w:val="272727" w:themeColor="text1" w:themeTint="D8"/>
    </w:rPr>
  </w:style>
  <w:style w:type="paragraph" w:styleId="Title">
    <w:name w:val="Title"/>
    <w:basedOn w:val="Normal"/>
    <w:next w:val="Normal"/>
    <w:link w:val="TitleChar"/>
    <w:uiPriority w:val="10"/>
    <w:qFormat/>
    <w:rsid w:val="006C7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222"/>
    <w:pPr>
      <w:spacing w:before="160"/>
      <w:jc w:val="center"/>
    </w:pPr>
    <w:rPr>
      <w:i/>
      <w:iCs/>
      <w:color w:val="404040" w:themeColor="text1" w:themeTint="BF"/>
    </w:rPr>
  </w:style>
  <w:style w:type="character" w:customStyle="1" w:styleId="QuoteChar">
    <w:name w:val="Quote Char"/>
    <w:basedOn w:val="DefaultParagraphFont"/>
    <w:link w:val="Quote"/>
    <w:uiPriority w:val="29"/>
    <w:rsid w:val="006C7222"/>
    <w:rPr>
      <w:i/>
      <w:iCs/>
      <w:color w:val="404040" w:themeColor="text1" w:themeTint="BF"/>
    </w:rPr>
  </w:style>
  <w:style w:type="paragraph" w:styleId="ListParagraph">
    <w:name w:val="List Paragraph"/>
    <w:basedOn w:val="Normal"/>
    <w:uiPriority w:val="34"/>
    <w:qFormat/>
    <w:rsid w:val="006C7222"/>
    <w:pPr>
      <w:ind w:left="720"/>
      <w:contextualSpacing/>
    </w:pPr>
  </w:style>
  <w:style w:type="character" w:styleId="IntenseEmphasis">
    <w:name w:val="Intense Emphasis"/>
    <w:basedOn w:val="DefaultParagraphFont"/>
    <w:uiPriority w:val="21"/>
    <w:qFormat/>
    <w:rsid w:val="006C7222"/>
    <w:rPr>
      <w:i/>
      <w:iCs/>
      <w:color w:val="0F4761" w:themeColor="accent1" w:themeShade="BF"/>
    </w:rPr>
  </w:style>
  <w:style w:type="paragraph" w:styleId="IntenseQuote">
    <w:name w:val="Intense Quote"/>
    <w:basedOn w:val="Normal"/>
    <w:next w:val="Normal"/>
    <w:link w:val="IntenseQuoteChar"/>
    <w:uiPriority w:val="30"/>
    <w:qFormat/>
    <w:rsid w:val="006C7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222"/>
    <w:rPr>
      <w:i/>
      <w:iCs/>
      <w:color w:val="0F4761" w:themeColor="accent1" w:themeShade="BF"/>
    </w:rPr>
  </w:style>
  <w:style w:type="character" w:styleId="IntenseReference">
    <w:name w:val="Intense Reference"/>
    <w:basedOn w:val="DefaultParagraphFont"/>
    <w:uiPriority w:val="32"/>
    <w:qFormat/>
    <w:rsid w:val="006C7222"/>
    <w:rPr>
      <w:b/>
      <w:bCs/>
      <w:smallCaps/>
      <w:color w:val="0F4761" w:themeColor="accent1" w:themeShade="BF"/>
      <w:spacing w:val="5"/>
    </w:rPr>
  </w:style>
  <w:style w:type="character" w:customStyle="1" w:styleId="cursor-pointer">
    <w:name w:val="cursor-pointer"/>
    <w:basedOn w:val="DefaultParagraphFont"/>
    <w:rsid w:val="00C878A6"/>
  </w:style>
  <w:style w:type="table" w:styleId="TableGrid">
    <w:name w:val="Table Grid"/>
    <w:basedOn w:val="TableNormal"/>
    <w:uiPriority w:val="39"/>
    <w:rsid w:val="00695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95E08"/>
    <w:pPr>
      <w:numPr>
        <w:numId w:val="6"/>
      </w:numPr>
      <w:spacing w:after="100" w:line="276" w:lineRule="auto"/>
      <w:contextualSpacing/>
    </w:pPr>
    <w:rPr>
      <w:rFonts w:ascii="Arial" w:hAnsi="Arial"/>
      <w:sz w:val="21"/>
      <w:szCs w:val="22"/>
      <w:lang w:val="en-US" w:eastAsia="en-US"/>
    </w:rPr>
  </w:style>
  <w:style w:type="paragraph" w:customStyle="1" w:styleId="ReportHeading2">
    <w:name w:val="Report Heading 2"/>
    <w:rsid w:val="00695E08"/>
    <w:pPr>
      <w:keepNext/>
      <w:spacing w:before="120" w:after="80" w:line="276" w:lineRule="auto"/>
    </w:pPr>
    <w:rPr>
      <w:rFonts w:ascii="Arial" w:eastAsiaTheme="minorEastAsia" w:hAnsi="Arial"/>
      <w:b/>
      <w:color w:val="1F4E78"/>
      <w:kern w:val="0"/>
      <w:szCs w:val="22"/>
      <w:lang w:val="en-US"/>
      <w14:ligatures w14:val="none"/>
    </w:rPr>
  </w:style>
  <w:style w:type="paragraph" w:customStyle="1" w:styleId="pdq2pgselectionanchorcontainer">
    <w:name w:val="pdq2pg_selectionanchorcontainer"/>
    <w:basedOn w:val="Normal"/>
    <w:rsid w:val="00716E2A"/>
    <w:pPr>
      <w:spacing w:before="100" w:beforeAutospacing="1" w:after="100" w:afterAutospacing="1" w:line="240" w:lineRule="auto"/>
    </w:pPr>
    <w:rPr>
      <w:rFonts w:ascii="Times New Roman" w:eastAsia="Times New Roman" w:hAnsi="Times New Roman" w:cs="Times New Roman"/>
      <w:lang w:val="en-CA" w:eastAsia="en-US"/>
    </w:rPr>
  </w:style>
  <w:style w:type="paragraph" w:styleId="NormalWeb">
    <w:name w:val="Normal (Web)"/>
    <w:basedOn w:val="Normal"/>
    <w:uiPriority w:val="99"/>
    <w:unhideWhenUsed/>
    <w:rsid w:val="00716E2A"/>
    <w:pPr>
      <w:spacing w:before="100" w:beforeAutospacing="1" w:after="100" w:afterAutospacing="1" w:line="240" w:lineRule="auto"/>
    </w:pPr>
    <w:rPr>
      <w:rFonts w:ascii="Times New Roman" w:eastAsia="Times New Roman" w:hAnsi="Times New Roman" w:cs="Times New Roman"/>
      <w:lang w:val="en-CA" w:eastAsia="en-US"/>
    </w:rPr>
  </w:style>
  <w:style w:type="paragraph" w:styleId="Header">
    <w:name w:val="header"/>
    <w:basedOn w:val="Normal"/>
    <w:link w:val="HeaderChar"/>
    <w:uiPriority w:val="99"/>
    <w:unhideWhenUsed/>
    <w:rsid w:val="00E411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1A8"/>
    <w:rPr>
      <w:rFonts w:eastAsiaTheme="minorEastAsia"/>
      <w:kern w:val="0"/>
      <w:lang w:val="en-GB" w:eastAsia="ja-JP"/>
      <w14:ligatures w14:val="none"/>
    </w:rPr>
  </w:style>
  <w:style w:type="paragraph" w:styleId="Footer">
    <w:name w:val="footer"/>
    <w:basedOn w:val="Normal"/>
    <w:link w:val="FooterChar"/>
    <w:uiPriority w:val="99"/>
    <w:unhideWhenUsed/>
    <w:rsid w:val="00E411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1A8"/>
    <w:rPr>
      <w:rFonts w:eastAsiaTheme="minorEastAsia"/>
      <w:kern w:val="0"/>
      <w:lang w:val="en-GB" w:eastAsia="ja-JP"/>
      <w14:ligatures w14:val="none"/>
    </w:rPr>
  </w:style>
  <w:style w:type="paragraph" w:styleId="ListNumber2">
    <w:name w:val="List Number 2"/>
    <w:basedOn w:val="Normal"/>
    <w:uiPriority w:val="99"/>
    <w:unhideWhenUsed/>
    <w:rsid w:val="002E1A50"/>
    <w:pPr>
      <w:numPr>
        <w:numId w:val="10"/>
      </w:numPr>
      <w:spacing w:after="100" w:line="276" w:lineRule="auto"/>
      <w:contextualSpacing/>
    </w:pPr>
    <w:rPr>
      <w:rFonts w:ascii="Arial" w:hAnsi="Arial"/>
      <w:sz w:val="21"/>
      <w:szCs w:val="22"/>
      <w:lang w:val="en-US" w:eastAsia="en-US"/>
    </w:rPr>
  </w:style>
  <w:style w:type="paragraph" w:customStyle="1" w:styleId="ReportHeading1">
    <w:name w:val="Report Heading 1"/>
    <w:rsid w:val="009D4211"/>
    <w:pPr>
      <w:keepNext/>
      <w:pageBreakBefore/>
      <w:spacing w:before="160" w:after="80" w:line="276" w:lineRule="auto"/>
      <w:jc w:val="center"/>
    </w:pPr>
    <w:rPr>
      <w:rFonts w:ascii="Arial" w:eastAsiaTheme="minorEastAsia" w:hAnsi="Arial"/>
      <w:b/>
      <w:color w:val="1F4E78"/>
      <w:kern w:val="0"/>
      <w:sz w:val="28"/>
      <w:szCs w:val="22"/>
      <w:lang w:val="en-US"/>
      <w14:ligatures w14:val="none"/>
    </w:rPr>
  </w:style>
  <w:style w:type="paragraph" w:customStyle="1" w:styleId="References">
    <w:name w:val="References"/>
    <w:rsid w:val="006F4D4C"/>
    <w:pPr>
      <w:spacing w:after="200" w:line="276" w:lineRule="auto"/>
    </w:pPr>
    <w:rPr>
      <w:rFonts w:ascii="Arial" w:eastAsiaTheme="minorEastAsia" w:hAnsi="Arial"/>
      <w:kern w:val="0"/>
      <w:sz w:val="22"/>
      <w:szCs w:val="22"/>
      <w:lang w:val="en-US"/>
      <w14:ligatures w14:val="none"/>
    </w:rPr>
  </w:style>
  <w:style w:type="paragraph" w:styleId="TOCHeading">
    <w:name w:val="TOC Heading"/>
    <w:basedOn w:val="Heading1"/>
    <w:next w:val="Normal"/>
    <w:uiPriority w:val="39"/>
    <w:unhideWhenUsed/>
    <w:qFormat/>
    <w:rsid w:val="001C3067"/>
    <w:pPr>
      <w:spacing w:before="480" w:after="0" w:line="276" w:lineRule="auto"/>
      <w:outlineLvl w:val="9"/>
    </w:pPr>
    <w:rPr>
      <w:b/>
      <w:bCs/>
      <w:sz w:val="28"/>
      <w:szCs w:val="28"/>
      <w:lang w:val="en-US" w:eastAsia="en-US"/>
    </w:rPr>
  </w:style>
  <w:style w:type="paragraph" w:styleId="TOC2">
    <w:name w:val="toc 2"/>
    <w:basedOn w:val="Normal"/>
    <w:next w:val="Normal"/>
    <w:autoRedefine/>
    <w:uiPriority w:val="39"/>
    <w:unhideWhenUsed/>
    <w:rsid w:val="001C3067"/>
    <w:pPr>
      <w:spacing w:before="120" w:after="0"/>
      <w:ind w:left="240"/>
    </w:pPr>
    <w:rPr>
      <w:b/>
      <w:bCs/>
      <w:sz w:val="22"/>
      <w:szCs w:val="22"/>
    </w:rPr>
  </w:style>
  <w:style w:type="paragraph" w:styleId="TOC1">
    <w:name w:val="toc 1"/>
    <w:basedOn w:val="Normal"/>
    <w:next w:val="Normal"/>
    <w:autoRedefine/>
    <w:uiPriority w:val="39"/>
    <w:unhideWhenUsed/>
    <w:rsid w:val="001C3067"/>
    <w:pPr>
      <w:spacing w:before="120" w:after="0"/>
    </w:pPr>
    <w:rPr>
      <w:b/>
      <w:bCs/>
      <w:i/>
      <w:iCs/>
    </w:rPr>
  </w:style>
  <w:style w:type="paragraph" w:styleId="TOC3">
    <w:name w:val="toc 3"/>
    <w:basedOn w:val="Normal"/>
    <w:next w:val="Normal"/>
    <w:autoRedefine/>
    <w:uiPriority w:val="39"/>
    <w:unhideWhenUsed/>
    <w:rsid w:val="001C3067"/>
    <w:pPr>
      <w:spacing w:after="0"/>
      <w:ind w:left="480"/>
    </w:pPr>
    <w:rPr>
      <w:sz w:val="20"/>
      <w:szCs w:val="20"/>
    </w:rPr>
  </w:style>
  <w:style w:type="character" w:styleId="Hyperlink">
    <w:name w:val="Hyperlink"/>
    <w:basedOn w:val="DefaultParagraphFont"/>
    <w:uiPriority w:val="99"/>
    <w:unhideWhenUsed/>
    <w:rsid w:val="001C3067"/>
    <w:rPr>
      <w:color w:val="467886" w:themeColor="hyperlink"/>
      <w:u w:val="single"/>
    </w:rPr>
  </w:style>
  <w:style w:type="paragraph" w:styleId="TOC4">
    <w:name w:val="toc 4"/>
    <w:basedOn w:val="Normal"/>
    <w:next w:val="Normal"/>
    <w:autoRedefine/>
    <w:uiPriority w:val="39"/>
    <w:semiHidden/>
    <w:unhideWhenUsed/>
    <w:rsid w:val="001C3067"/>
    <w:pPr>
      <w:spacing w:after="0"/>
      <w:ind w:left="720"/>
    </w:pPr>
    <w:rPr>
      <w:sz w:val="20"/>
      <w:szCs w:val="20"/>
    </w:rPr>
  </w:style>
  <w:style w:type="paragraph" w:styleId="TOC5">
    <w:name w:val="toc 5"/>
    <w:basedOn w:val="Normal"/>
    <w:next w:val="Normal"/>
    <w:autoRedefine/>
    <w:uiPriority w:val="39"/>
    <w:semiHidden/>
    <w:unhideWhenUsed/>
    <w:rsid w:val="001C3067"/>
    <w:pPr>
      <w:spacing w:after="0"/>
      <w:ind w:left="960"/>
    </w:pPr>
    <w:rPr>
      <w:sz w:val="20"/>
      <w:szCs w:val="20"/>
    </w:rPr>
  </w:style>
  <w:style w:type="paragraph" w:styleId="TOC6">
    <w:name w:val="toc 6"/>
    <w:basedOn w:val="Normal"/>
    <w:next w:val="Normal"/>
    <w:autoRedefine/>
    <w:uiPriority w:val="39"/>
    <w:semiHidden/>
    <w:unhideWhenUsed/>
    <w:rsid w:val="001C3067"/>
    <w:pPr>
      <w:spacing w:after="0"/>
      <w:ind w:left="1200"/>
    </w:pPr>
    <w:rPr>
      <w:sz w:val="20"/>
      <w:szCs w:val="20"/>
    </w:rPr>
  </w:style>
  <w:style w:type="paragraph" w:styleId="TOC7">
    <w:name w:val="toc 7"/>
    <w:basedOn w:val="Normal"/>
    <w:next w:val="Normal"/>
    <w:autoRedefine/>
    <w:uiPriority w:val="39"/>
    <w:semiHidden/>
    <w:unhideWhenUsed/>
    <w:rsid w:val="001C3067"/>
    <w:pPr>
      <w:spacing w:after="0"/>
      <w:ind w:left="1440"/>
    </w:pPr>
    <w:rPr>
      <w:sz w:val="20"/>
      <w:szCs w:val="20"/>
    </w:rPr>
  </w:style>
  <w:style w:type="paragraph" w:styleId="TOC8">
    <w:name w:val="toc 8"/>
    <w:basedOn w:val="Normal"/>
    <w:next w:val="Normal"/>
    <w:autoRedefine/>
    <w:uiPriority w:val="39"/>
    <w:semiHidden/>
    <w:unhideWhenUsed/>
    <w:rsid w:val="001C3067"/>
    <w:pPr>
      <w:spacing w:after="0"/>
      <w:ind w:left="1680"/>
    </w:pPr>
    <w:rPr>
      <w:sz w:val="20"/>
      <w:szCs w:val="20"/>
    </w:rPr>
  </w:style>
  <w:style w:type="paragraph" w:styleId="TOC9">
    <w:name w:val="toc 9"/>
    <w:basedOn w:val="Normal"/>
    <w:next w:val="Normal"/>
    <w:autoRedefine/>
    <w:uiPriority w:val="39"/>
    <w:semiHidden/>
    <w:unhideWhenUsed/>
    <w:rsid w:val="001C306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35381">
      <w:bodyDiv w:val="1"/>
      <w:marLeft w:val="0"/>
      <w:marRight w:val="0"/>
      <w:marTop w:val="0"/>
      <w:marBottom w:val="0"/>
      <w:divBdr>
        <w:top w:val="none" w:sz="0" w:space="0" w:color="auto"/>
        <w:left w:val="none" w:sz="0" w:space="0" w:color="auto"/>
        <w:bottom w:val="none" w:sz="0" w:space="0" w:color="auto"/>
        <w:right w:val="none" w:sz="0" w:space="0" w:color="auto"/>
      </w:divBdr>
    </w:div>
    <w:div w:id="747924141">
      <w:bodyDiv w:val="1"/>
      <w:marLeft w:val="0"/>
      <w:marRight w:val="0"/>
      <w:marTop w:val="0"/>
      <w:marBottom w:val="0"/>
      <w:divBdr>
        <w:top w:val="none" w:sz="0" w:space="0" w:color="auto"/>
        <w:left w:val="none" w:sz="0" w:space="0" w:color="auto"/>
        <w:bottom w:val="none" w:sz="0" w:space="0" w:color="auto"/>
        <w:right w:val="none" w:sz="0" w:space="0" w:color="auto"/>
      </w:divBdr>
    </w:div>
    <w:div w:id="112769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riv.gc.ca/en/privacy-topics/privacy-laws-in-canada/the-personal-information-protection-and-electronic-documents-act-pipeda/p_principle/" TargetMode="External"/><Relationship Id="rId2" Type="http://schemas.openxmlformats.org/officeDocument/2006/relationships/numbering" Target="numbering.xml"/><Relationship Id="rId16" Type="http://schemas.openxmlformats.org/officeDocument/2006/relationships/hyperlink" Target="https://learn.microsoft.com/power-b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iso.org/standard/35736.html" TargetMode="External"/><Relationship Id="rId10" Type="http://schemas.openxmlformats.org/officeDocument/2006/relationships/image" Target="media/image3.png"/><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anada.ca/en/health-canada/services/smoking-tobacco/vaping/product-safety-regulation/vaping-products-promotion-regulations-information-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24200-9066-5942-AF86-A869057FD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19</Pages>
  <Words>5044</Words>
  <Characters>28753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Adebayo, Busayo</dc:creator>
  <cp:keywords/>
  <dc:description/>
  <cp:lastModifiedBy>Adebayo, Busayo</cp:lastModifiedBy>
  <cp:revision>1</cp:revision>
  <dcterms:created xsi:type="dcterms:W3CDTF">2026-08-05T20:05:00Z</dcterms:created>
  <dcterms:modified xsi:type="dcterms:W3CDTF">2026-08-06T00:17:00Z</dcterms:modified>
</cp:coreProperties>
</file>