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33.png" ContentType="image/png"/>
  <Override PartName="/word/media/rId35.png" ContentType="image/png"/>
  <Override PartName="/word/media/rId30.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Sensitivity</w:t>
      </w:r>
      <w:r>
        <w:t xml:space="preserve"> </w:t>
      </w:r>
      <w:r>
        <w:t xml:space="preserve">and</w:t>
      </w:r>
      <w:r>
        <w:t xml:space="preserve"> </w:t>
      </w:r>
      <w:r>
        <w:t xml:space="preserve">Specificity</w:t>
      </w:r>
    </w:p>
    <w:p>
      <w:pPr>
        <w:pStyle w:val="Author"/>
      </w:pPr>
      <w:r>
        <w:t xml:space="preserve">Derek</w:t>
      </w:r>
      <w:r>
        <w:t xml:space="preserve"> </w:t>
      </w:r>
      <w:r>
        <w:t xml:space="preserve">Sonderegger</w:t>
      </w:r>
    </w:p>
    <w:p>
      <w:pPr>
        <w:pStyle w:val="Date"/>
      </w:pPr>
      <w:r>
        <w:t xml:space="preserve">2019-06-28</w:t>
      </w:r>
    </w:p>
    <w:p>
      <w:pPr>
        <w:pStyle w:val="SourceCode"/>
      </w:pPr>
      <w:r>
        <w:rPr>
          <w:rStyle w:val="CommentTok"/>
        </w:rPr>
        <w:t xml:space="preserve"># library(devtools)</w:t>
      </w:r>
      <w:r>
        <w:br w:type="textWrapping"/>
      </w:r>
      <w:r>
        <w:rPr>
          <w:rStyle w:val="CommentTok"/>
        </w:rPr>
        <w:t xml:space="preserve"># install_github('dereksonderegger/BurkPx')</w:t>
      </w:r>
      <w:r>
        <w:br w:type="textWrapping"/>
      </w:r>
      <w:r>
        <w:rPr>
          <w:rStyle w:val="KeywordTok"/>
        </w:rPr>
        <w:t xml:space="preserve">library</w:t>
      </w:r>
      <w:r>
        <w:rPr>
          <w:rStyle w:val="NormalTok"/>
        </w:rPr>
        <w:t xml:space="preserve">(BurkPx)</w:t>
      </w:r>
      <w:r>
        <w:br w:type="textWrapping"/>
      </w:r>
      <w:r>
        <w:rPr>
          <w:rStyle w:val="KeywordTok"/>
        </w:rPr>
        <w:t xml:space="preserve">library</w:t>
      </w:r>
      <w:r>
        <w:rPr>
          <w:rStyle w:val="NormalTok"/>
        </w:rPr>
        <w:t xml:space="preserve">(ggplot2)</w:t>
      </w:r>
    </w:p>
    <w:p>
      <w:pPr>
        <w:pStyle w:val="Heading1"/>
      </w:pPr>
      <w:bookmarkStart w:id="20" w:name="methods"/>
      <w:r>
        <w:t xml:space="preserve">Methods</w:t>
      </w:r>
      <w:bookmarkEnd w:id="20"/>
    </w:p>
    <w:p>
      <w:pPr>
        <w:pStyle w:val="FirstParagraph"/>
      </w:pPr>
      <w:r>
        <w:t xml:space="preserve">Our initial research identified 21 differnt antigens that could be predictive of Meliodosis. To create an assay with high sensitivity and specificity for future observations, we created a statistical model using our present data but protected ourselves from overfitting the data by using the</w:t>
      </w:r>
      <w:r>
        <w:t xml:space="preserve"> </w:t>
      </w:r>
      <w:r>
        <w:rPr>
          <w:i/>
        </w:rPr>
        <w:t xml:space="preserve">shrinkage methods</w:t>
      </w:r>
      <w:r>
        <w:t xml:space="preserve"> </w:t>
      </w:r>
      <w:r>
        <w:t xml:space="preserve">LASSO and ridge regression. These methods modify a a conventional linear model by continuously shrinking the model coeffients towards zero and then selecting a shrinkage amount via k-fold cross-validation. LASSO has the convenient property of pushing the regression coeffiencients to zero, effectively removing the antigen from the regression model, while ridge regression typcially will simply push coeffients to just be small. As a result, LASSO tends to produce a more parsimonious set of antigens to base the assay on.</w:t>
      </w:r>
    </w:p>
    <w:p>
      <w:pPr>
        <w:pStyle w:val="Heading1"/>
      </w:pPr>
      <w:bookmarkStart w:id="21" w:name="human-roc-analysis-on-human-models"/>
      <w:r>
        <w:t xml:space="preserve">Human ROC analysis on Human models</w:t>
      </w:r>
      <w:bookmarkEnd w:id="21"/>
    </w:p>
    <w:p>
      <w:pPr>
        <w:pStyle w:val="FirstParagraph"/>
      </w:pPr>
      <w:r>
        <w:t xml:space="preserve">We first split the human patients into test/training sets and then fit all the various models (IgG, IgM, IgGM, etc) using only patients from the training set. Because we have 100 Meliod patients, then 50 of those patients get assigned to the test group and 50 to the training group. Likewise of the 400 controls, 200 get assigned to the test set and 200 to the training.</w:t>
      </w:r>
    </w:p>
    <w:p>
      <w:pPr>
        <w:pStyle w:val="BodyText"/>
      </w:pPr>
      <w:r>
        <w:t xml:space="preserve">Once the patients have been assigned to either the test or training set, all of the patients serologies are included in the set. This means that a single patient with many serologies might have an oversized effect. But we did this to try to keep our sample sizes as high as possible. We created statistical models using the training set using both LASSO and ridge regression. We will then challenge the models and calculate the Receiver Operator Characteristic (ROC) curves and its Area Under the Curve (AUC) using the testing set. Next we create LASSO and ridge regression models using the full set of data, which we will recommend for making predictions about future observations.</w:t>
      </w:r>
    </w:p>
    <w:p>
      <w:pPr>
        <w:pStyle w:val="BodyText"/>
      </w:pPr>
      <w:r>
        <w:t xml:space="preserve">For the human data, we generated AUC values for each week after the patient was admitted to the hospital. To generate this by week, we split the testing data into Healthy, Week 1, Week 2, etc. For each, we calculate AUC using the three different human models (IgG, IgM, IgGM).</w:t>
      </w:r>
    </w:p>
    <w:p>
      <w:pPr>
        <w:pStyle w:val="BodyText"/>
      </w:pPr>
      <w:r>
        <w:drawing>
          <wp:inline>
            <wp:extent cx="5334000" cy="3111500"/>
            <wp:effectExtent b="0" l="0" r="0" t="0"/>
            <wp:docPr descr="" title="" id="1" name="Picture"/>
            <a:graphic>
              <a:graphicData uri="http://schemas.openxmlformats.org/drawingml/2006/picture">
                <pic:pic>
                  <pic:nvPicPr>
                    <pic:cNvPr descr="sensitivity_and_specificity_files/figure-docx/Human_ROC_Display-1.png" id="0" name="Picture"/>
                    <pic:cNvPicPr>
                      <a:picLocks noChangeArrowheads="1" noChangeAspect="1"/>
                    </pic:cNvPicPr>
                  </pic:nvPicPr>
                  <pic:blipFill>
                    <a:blip r:embed="rId22"/>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The graph columns denote the serum type and the graph rows represent which dataset the model was trained on. The training row was trained on the training set and tested on the test set. However the full row has models built using both the training and test sets and then challenged by the test set.</w:t>
      </w:r>
    </w:p>
    <w:p>
      <w:pPr>
        <w:pStyle w:val="BodyText"/>
      </w:pPr>
      <w:r>
        <w:t xml:space="preserve">From this analysis, it is clear that for the first week, we need both the IgG and IgM sereologies. It also seems that the LASSO might be working better than Ridge Regression and that IgG is working better than IgM. However the best performance is by the IgGM data which uses both IgG and IgM observation values.</w:t>
      </w:r>
    </w:p>
    <w:p>
      <w:pPr>
        <w:pStyle w:val="BodyText"/>
      </w:pPr>
      <w:r>
        <w:t xml:space="preserve">Next we look at the human models that were trained on only the Week 1 and 2 data. We compare the models against the same version 1 test set so that the comparisons</w:t>
      </w:r>
    </w:p>
    <w:p>
      <w:pPr>
        <w:pStyle w:val="BodyText"/>
      </w:pPr>
      <w:r>
        <w:drawing>
          <wp:inline>
            <wp:extent cx="5334000" cy="3111500"/>
            <wp:effectExtent b="0" l="0" r="0" t="0"/>
            <wp:docPr descr="" title="" id="1" name="Picture"/>
            <a:graphic>
              <a:graphicData uri="http://schemas.openxmlformats.org/drawingml/2006/picture">
                <pic:pic>
                  <pic:nvPicPr>
                    <pic:cNvPr descr="sensitivity_and_specificity_files/figure-docx/Human_ROC_Display2-1.png" id="0" name="Picture"/>
                    <pic:cNvPicPr>
                      <a:picLocks noChangeArrowheads="1" noChangeAspect="1"/>
                    </pic:cNvPicPr>
                  </pic:nvPicPr>
                  <pic:blipFill>
                    <a:blip r:embed="rId23"/>
                    <a:stretch>
                      <a:fillRect/>
                    </a:stretch>
                  </pic:blipFill>
                  <pic:spPr bwMode="auto">
                    <a:xfrm>
                      <a:off x="0" y="0"/>
                      <a:ext cx="5334000" cy="3111500"/>
                    </a:xfrm>
                    <a:prstGeom prst="rect">
                      <a:avLst/>
                    </a:prstGeom>
                    <a:noFill/>
                    <a:ln w="9525">
                      <a:noFill/>
                      <a:headEnd/>
                      <a:tailEnd/>
                    </a:ln>
                  </pic:spPr>
                </pic:pic>
              </a:graphicData>
            </a:graphic>
          </wp:inline>
        </w:drawing>
      </w:r>
    </w:p>
    <w:p>
      <w:pPr>
        <w:pStyle w:val="Heading2"/>
      </w:pPr>
      <w:bookmarkStart w:id="24" w:name="how-many-covariates-are-used"/>
      <w:r>
        <w:t xml:space="preserve">How many covariates are used?</w:t>
      </w:r>
      <w:bookmarkEnd w:id="24"/>
    </w:p>
    <w:p>
      <w:pPr>
        <w:pStyle w:val="FirstParagraph"/>
      </w:pPr>
      <w:r>
        <w:t xml:space="preserve">For each of the full LASSO models, it would be helpful to know which antigens where selected for inclusion into the model.</w:t>
      </w:r>
    </w:p>
    <w:p>
      <w:pPr>
        <w:pStyle w:val="Heading4"/>
      </w:pPr>
      <w:bookmarkStart w:id="25" w:name="igg"/>
      <w:r>
        <w:t xml:space="preserve">IgG</w:t>
      </w:r>
      <w:bookmarkEnd w:id="25"/>
    </w:p>
    <w:tbl>
      <w:tblPr>
        <w:tblStyle w:val="Table"/>
        <w:tblW w:type="pct" w:w="2083.333333333333"/>
        <w:tblLook w:firstRow="1"/>
      </w:tblPr>
      <w:tblGrid>
        <w:gridCol w:w="1980"/>
        <w:gridCol w:w="1320"/>
      </w:tblGrid>
      <w:tr>
        <w:trPr>
          <w:cnfStyle w:firstRow="1"/>
        </w:trPr>
        <w:tc>
          <w:tcPr>
            <w:tcBorders>
              <w:bottom w:val="single"/>
            </w:tcBorders>
            <w:vAlign w:val="bottom"/>
          </w:tcPr>
          <w:p>
            <w:pPr>
              <w:pStyle w:val="Compact"/>
              <w:jc w:val="center"/>
            </w:pPr>
            <w:r>
              <w:t xml:space="preserve">Antigen</w:t>
            </w:r>
          </w:p>
        </w:tc>
        <w:tc>
          <w:tcPr>
            <w:tcBorders>
              <w:bottom w:val="single"/>
            </w:tcBorders>
            <w:vAlign w:val="bottom"/>
          </w:tcPr>
          <w:p>
            <w:pPr>
              <w:pStyle w:val="Compact"/>
              <w:jc w:val="center"/>
            </w:pPr>
            <w:r>
              <w:t xml:space="preserve">Coef</w:t>
            </w:r>
          </w:p>
        </w:tc>
      </w:tr>
      <w:tr>
        <w:tc>
          <w:p>
            <w:pPr>
              <w:pStyle w:val="Compact"/>
              <w:jc w:val="center"/>
            </w:pPr>
            <w:r>
              <w:t xml:space="preserve">BPSS1498_HCP1.B</w:t>
            </w:r>
          </w:p>
        </w:tc>
        <w:tc>
          <w:p>
            <w:pPr>
              <w:pStyle w:val="Compact"/>
              <w:jc w:val="center"/>
            </w:pPr>
            <w:r>
              <w:t xml:space="preserve">2.036e-05</w:t>
            </w:r>
          </w:p>
        </w:tc>
      </w:tr>
      <w:tr>
        <w:tc>
          <w:p>
            <w:pPr>
              <w:pStyle w:val="Compact"/>
              <w:jc w:val="center"/>
            </w:pPr>
            <w:r>
              <w:t xml:space="preserve">LPSA</w:t>
            </w:r>
          </w:p>
        </w:tc>
        <w:tc>
          <w:p>
            <w:pPr>
              <w:pStyle w:val="Compact"/>
              <w:jc w:val="center"/>
            </w:pPr>
            <w:r>
              <w:t xml:space="preserve">0.0001771</w:t>
            </w:r>
          </w:p>
        </w:tc>
      </w:tr>
      <w:tr>
        <w:tc>
          <w:p>
            <w:pPr>
              <w:pStyle w:val="Compact"/>
              <w:jc w:val="center"/>
            </w:pPr>
            <w:r>
              <w:t xml:space="preserve">LPSB</w:t>
            </w:r>
          </w:p>
        </w:tc>
        <w:tc>
          <w:p>
            <w:pPr>
              <w:pStyle w:val="Compact"/>
              <w:jc w:val="center"/>
            </w:pPr>
            <w:r>
              <w:t xml:space="preserve">5.506e-06</w:t>
            </w:r>
          </w:p>
        </w:tc>
      </w:tr>
    </w:tbl>
    <w:p>
      <w:pPr>
        <w:pStyle w:val="Heading4"/>
      </w:pPr>
      <w:bookmarkStart w:id="26" w:name="igm"/>
      <w:r>
        <w:t xml:space="preserve">IgM</w:t>
      </w:r>
      <w:bookmarkEnd w:id="26"/>
    </w:p>
    <w:tbl>
      <w:tblPr>
        <w:tblStyle w:val="Table"/>
        <w:tblW w:type="pct" w:w="2152.777777777778"/>
        <w:tblLook w:firstRow="1"/>
      </w:tblPr>
      <w:tblGrid>
        <w:gridCol w:w="1980"/>
        <w:gridCol w:w="1430"/>
      </w:tblGrid>
      <w:tr>
        <w:trPr>
          <w:cnfStyle w:firstRow="1"/>
        </w:trPr>
        <w:tc>
          <w:tcPr>
            <w:tcBorders>
              <w:bottom w:val="single"/>
            </w:tcBorders>
            <w:vAlign w:val="bottom"/>
          </w:tcPr>
          <w:p>
            <w:pPr>
              <w:pStyle w:val="Compact"/>
              <w:jc w:val="center"/>
            </w:pPr>
            <w:r>
              <w:t xml:space="preserve">Antigen</w:t>
            </w:r>
          </w:p>
        </w:tc>
        <w:tc>
          <w:tcPr>
            <w:tcBorders>
              <w:bottom w:val="single"/>
            </w:tcBorders>
            <w:vAlign w:val="bottom"/>
          </w:tcPr>
          <w:p>
            <w:pPr>
              <w:pStyle w:val="Compact"/>
              <w:jc w:val="center"/>
            </w:pPr>
            <w:r>
              <w:t xml:space="preserve">Coef</w:t>
            </w:r>
          </w:p>
        </w:tc>
      </w:tr>
      <w:tr>
        <w:tc>
          <w:p>
            <w:pPr>
              <w:pStyle w:val="Compact"/>
              <w:jc w:val="center"/>
            </w:pPr>
            <w:r>
              <w:t xml:space="preserve">BPSL1201_IMPS</w:t>
            </w:r>
          </w:p>
        </w:tc>
        <w:tc>
          <w:p>
            <w:pPr>
              <w:pStyle w:val="Compact"/>
              <w:jc w:val="center"/>
            </w:pPr>
            <w:r>
              <w:t xml:space="preserve">-2.719e-05</w:t>
            </w:r>
          </w:p>
        </w:tc>
      </w:tr>
      <w:tr>
        <w:tc>
          <w:p>
            <w:pPr>
              <w:pStyle w:val="Compact"/>
              <w:jc w:val="center"/>
            </w:pPr>
            <w:r>
              <w:t xml:space="preserve">BPSL1404_ClpX</w:t>
            </w:r>
          </w:p>
        </w:tc>
        <w:tc>
          <w:p>
            <w:pPr>
              <w:pStyle w:val="Compact"/>
              <w:jc w:val="center"/>
            </w:pPr>
            <w:r>
              <w:t xml:space="preserve">-0.0007854</w:t>
            </w:r>
          </w:p>
        </w:tc>
      </w:tr>
      <w:tr>
        <w:tc>
          <w:p>
            <w:pPr>
              <w:pStyle w:val="Compact"/>
              <w:jc w:val="center"/>
            </w:pPr>
            <w:r>
              <w:t xml:space="preserve">BPSL2522_OmpA</w:t>
            </w:r>
          </w:p>
        </w:tc>
        <w:tc>
          <w:p>
            <w:pPr>
              <w:pStyle w:val="Compact"/>
              <w:jc w:val="center"/>
            </w:pPr>
            <w:r>
              <w:t xml:space="preserve">-0.0008399</w:t>
            </w:r>
          </w:p>
        </w:tc>
      </w:tr>
      <w:tr>
        <w:tc>
          <w:p>
            <w:pPr>
              <w:pStyle w:val="Compact"/>
              <w:jc w:val="center"/>
            </w:pPr>
            <w:r>
              <w:t xml:space="preserve">BPSL2827_DNAK</w:t>
            </w:r>
          </w:p>
        </w:tc>
        <w:tc>
          <w:p>
            <w:pPr>
              <w:pStyle w:val="Compact"/>
              <w:jc w:val="center"/>
            </w:pPr>
            <w:r>
              <w:t xml:space="preserve">0.000272</w:t>
            </w:r>
          </w:p>
        </w:tc>
      </w:tr>
      <w:tr>
        <w:tc>
          <w:p>
            <w:pPr>
              <w:pStyle w:val="Compact"/>
              <w:jc w:val="center"/>
            </w:pPr>
            <w:r>
              <w:t xml:space="preserve">BPSS0476_GroS</w:t>
            </w:r>
          </w:p>
        </w:tc>
        <w:tc>
          <w:p>
            <w:pPr>
              <w:pStyle w:val="Compact"/>
              <w:jc w:val="center"/>
            </w:pPr>
            <w:r>
              <w:t xml:space="preserve">-0.0002748</w:t>
            </w:r>
          </w:p>
        </w:tc>
      </w:tr>
      <w:tr>
        <w:tc>
          <w:p>
            <w:pPr>
              <w:pStyle w:val="Compact"/>
              <w:jc w:val="center"/>
            </w:pPr>
            <w:r>
              <w:t xml:space="preserve">BPSS1498_HCP1.B</w:t>
            </w:r>
          </w:p>
        </w:tc>
        <w:tc>
          <w:p>
            <w:pPr>
              <w:pStyle w:val="Compact"/>
              <w:jc w:val="center"/>
            </w:pPr>
            <w:r>
              <w:t xml:space="preserve">0.0002284</w:t>
            </w:r>
          </w:p>
        </w:tc>
      </w:tr>
      <w:tr>
        <w:tc>
          <w:p>
            <w:pPr>
              <w:pStyle w:val="Compact"/>
              <w:jc w:val="center"/>
            </w:pPr>
            <w:r>
              <w:t xml:space="preserve">BPSS1769_NADH</w:t>
            </w:r>
          </w:p>
        </w:tc>
        <w:tc>
          <w:p>
            <w:pPr>
              <w:pStyle w:val="Compact"/>
              <w:jc w:val="center"/>
            </w:pPr>
            <w:r>
              <w:t xml:space="preserve">-0.00016</w:t>
            </w:r>
          </w:p>
        </w:tc>
      </w:tr>
      <w:tr>
        <w:tc>
          <w:p>
            <w:pPr>
              <w:pStyle w:val="Compact"/>
              <w:jc w:val="center"/>
            </w:pPr>
            <w:r>
              <w:t xml:space="preserve">BPSS1850</w:t>
            </w:r>
          </w:p>
        </w:tc>
        <w:tc>
          <w:p>
            <w:pPr>
              <w:pStyle w:val="Compact"/>
              <w:jc w:val="center"/>
            </w:pPr>
            <w:r>
              <w:t xml:space="preserve">-6.548e-05</w:t>
            </w:r>
          </w:p>
        </w:tc>
      </w:tr>
      <w:tr>
        <w:tc>
          <w:p>
            <w:pPr>
              <w:pStyle w:val="Compact"/>
              <w:jc w:val="center"/>
            </w:pPr>
            <w:r>
              <w:t xml:space="preserve">CPS</w:t>
            </w:r>
          </w:p>
        </w:tc>
        <w:tc>
          <w:p>
            <w:pPr>
              <w:pStyle w:val="Compact"/>
              <w:jc w:val="center"/>
            </w:pPr>
            <w:r>
              <w:t xml:space="preserve">0.0001404</w:t>
            </w:r>
          </w:p>
        </w:tc>
      </w:tr>
      <w:tr>
        <w:tc>
          <w:p>
            <w:pPr>
              <w:pStyle w:val="Compact"/>
              <w:jc w:val="center"/>
            </w:pPr>
            <w:r>
              <w:t xml:space="preserve">LPSA</w:t>
            </w:r>
          </w:p>
        </w:tc>
        <w:tc>
          <w:p>
            <w:pPr>
              <w:pStyle w:val="Compact"/>
              <w:jc w:val="center"/>
            </w:pPr>
            <w:r>
              <w:t xml:space="preserve">0.0002212</w:t>
            </w:r>
          </w:p>
        </w:tc>
      </w:tr>
    </w:tbl>
    <w:p>
      <w:pPr>
        <w:pStyle w:val="Heading4"/>
      </w:pPr>
      <w:bookmarkStart w:id="27" w:name="iggm"/>
      <w:r>
        <w:t xml:space="preserve">IgGM</w:t>
      </w:r>
      <w:bookmarkEnd w:id="27"/>
    </w:p>
    <w:tbl>
      <w:tblPr>
        <w:tblStyle w:val="Table"/>
        <w:tblW w:type="pct" w:w="2430.5555555555557"/>
        <w:tblLook w:firstRow="1"/>
      </w:tblPr>
      <w:tblGrid>
        <w:gridCol w:w="2420"/>
        <w:gridCol w:w="1430"/>
      </w:tblGrid>
      <w:tr>
        <w:trPr>
          <w:cnfStyle w:firstRow="1"/>
        </w:trPr>
        <w:tc>
          <w:tcPr>
            <w:tcBorders>
              <w:bottom w:val="single"/>
            </w:tcBorders>
            <w:vAlign w:val="bottom"/>
          </w:tcPr>
          <w:p>
            <w:pPr>
              <w:pStyle w:val="Compact"/>
              <w:jc w:val="center"/>
            </w:pPr>
            <w:r>
              <w:t xml:space="preserve">Antigen</w:t>
            </w:r>
          </w:p>
        </w:tc>
        <w:tc>
          <w:tcPr>
            <w:tcBorders>
              <w:bottom w:val="single"/>
            </w:tcBorders>
            <w:vAlign w:val="bottom"/>
          </w:tcPr>
          <w:p>
            <w:pPr>
              <w:pStyle w:val="Compact"/>
              <w:jc w:val="center"/>
            </w:pPr>
            <w:r>
              <w:t xml:space="preserve">Coef</w:t>
            </w:r>
          </w:p>
        </w:tc>
      </w:tr>
      <w:tr>
        <w:tc>
          <w:p>
            <w:pPr>
              <w:pStyle w:val="Compact"/>
              <w:jc w:val="center"/>
            </w:pPr>
            <w:r>
              <w:t xml:space="preserve">IgG_BPSL1743_Arg</w:t>
            </w:r>
          </w:p>
        </w:tc>
        <w:tc>
          <w:p>
            <w:pPr>
              <w:pStyle w:val="Compact"/>
              <w:jc w:val="center"/>
            </w:pPr>
            <w:r>
              <w:t xml:space="preserve">0.000354</w:t>
            </w:r>
          </w:p>
        </w:tc>
      </w:tr>
      <w:tr>
        <w:tc>
          <w:p>
            <w:pPr>
              <w:pStyle w:val="Compact"/>
              <w:jc w:val="center"/>
            </w:pPr>
            <w:r>
              <w:t xml:space="preserve">IgG_BPSL2522_OmpA</w:t>
            </w:r>
          </w:p>
        </w:tc>
        <w:tc>
          <w:p>
            <w:pPr>
              <w:pStyle w:val="Compact"/>
              <w:jc w:val="center"/>
            </w:pPr>
            <w:r>
              <w:t xml:space="preserve">-0.0001495</w:t>
            </w:r>
          </w:p>
        </w:tc>
      </w:tr>
      <w:tr>
        <w:tc>
          <w:p>
            <w:pPr>
              <w:pStyle w:val="Compact"/>
              <w:jc w:val="center"/>
            </w:pPr>
            <w:r>
              <w:t xml:space="preserve">IgG_BPSL2827_DNAK</w:t>
            </w:r>
          </w:p>
        </w:tc>
        <w:tc>
          <w:p>
            <w:pPr>
              <w:pStyle w:val="Compact"/>
              <w:jc w:val="center"/>
            </w:pPr>
            <w:r>
              <w:t xml:space="preserve">-0.0004162</w:t>
            </w:r>
          </w:p>
        </w:tc>
      </w:tr>
      <w:tr>
        <w:tc>
          <w:p>
            <w:pPr>
              <w:pStyle w:val="Compact"/>
              <w:jc w:val="center"/>
            </w:pPr>
            <w:r>
              <w:t xml:space="preserve">IgG_BPSS0135</w:t>
            </w:r>
          </w:p>
        </w:tc>
        <w:tc>
          <w:p>
            <w:pPr>
              <w:pStyle w:val="Compact"/>
              <w:jc w:val="center"/>
            </w:pPr>
            <w:r>
              <w:t xml:space="preserve">0.0003345</w:t>
            </w:r>
          </w:p>
        </w:tc>
      </w:tr>
      <w:tr>
        <w:tc>
          <w:p>
            <w:pPr>
              <w:pStyle w:val="Compact"/>
              <w:jc w:val="center"/>
            </w:pPr>
            <w:r>
              <w:t xml:space="preserve">IgG_BPSS0530</w:t>
            </w:r>
          </w:p>
        </w:tc>
        <w:tc>
          <w:p>
            <w:pPr>
              <w:pStyle w:val="Compact"/>
              <w:jc w:val="center"/>
            </w:pPr>
            <w:r>
              <w:t xml:space="preserve">0.0002753</w:t>
            </w:r>
          </w:p>
        </w:tc>
      </w:tr>
      <w:tr>
        <w:tc>
          <w:p>
            <w:pPr>
              <w:pStyle w:val="Compact"/>
              <w:jc w:val="center"/>
            </w:pPr>
            <w:r>
              <w:t xml:space="preserve">IgG_BPSS1498_HCP1.B</w:t>
            </w:r>
          </w:p>
        </w:tc>
        <w:tc>
          <w:p>
            <w:pPr>
              <w:pStyle w:val="Compact"/>
              <w:jc w:val="center"/>
            </w:pPr>
            <w:r>
              <w:t xml:space="preserve">0.0002604</w:t>
            </w:r>
          </w:p>
        </w:tc>
      </w:tr>
      <w:tr>
        <w:tc>
          <w:p>
            <w:pPr>
              <w:pStyle w:val="Compact"/>
              <w:jc w:val="center"/>
            </w:pPr>
            <w:r>
              <w:t xml:space="preserve">IgG_BPSS1652</w:t>
            </w:r>
          </w:p>
        </w:tc>
        <w:tc>
          <w:p>
            <w:pPr>
              <w:pStyle w:val="Compact"/>
              <w:jc w:val="center"/>
            </w:pPr>
            <w:r>
              <w:t xml:space="preserve">5.71e-05</w:t>
            </w:r>
          </w:p>
        </w:tc>
      </w:tr>
      <w:tr>
        <w:tc>
          <w:p>
            <w:pPr>
              <w:pStyle w:val="Compact"/>
              <w:jc w:val="center"/>
            </w:pPr>
            <w:r>
              <w:t xml:space="preserve">IgG_BPSS1850</w:t>
            </w:r>
          </w:p>
        </w:tc>
        <w:tc>
          <w:p>
            <w:pPr>
              <w:pStyle w:val="Compact"/>
              <w:jc w:val="center"/>
            </w:pPr>
            <w:r>
              <w:t xml:space="preserve">-0.000105</w:t>
            </w:r>
          </w:p>
        </w:tc>
      </w:tr>
      <w:tr>
        <w:tc>
          <w:p>
            <w:pPr>
              <w:pStyle w:val="Compact"/>
              <w:jc w:val="center"/>
            </w:pPr>
            <w:r>
              <w:t xml:space="preserve">IgG_LPSA</w:t>
            </w:r>
          </w:p>
        </w:tc>
        <w:tc>
          <w:p>
            <w:pPr>
              <w:pStyle w:val="Compact"/>
              <w:jc w:val="center"/>
            </w:pPr>
            <w:r>
              <w:t xml:space="preserve">0.0002906</w:t>
            </w:r>
          </w:p>
        </w:tc>
      </w:tr>
      <w:tr>
        <w:tc>
          <w:p>
            <w:pPr>
              <w:pStyle w:val="Compact"/>
              <w:jc w:val="center"/>
            </w:pPr>
            <w:r>
              <w:t xml:space="preserve">IgG_LPSB</w:t>
            </w:r>
          </w:p>
        </w:tc>
        <w:tc>
          <w:p>
            <w:pPr>
              <w:pStyle w:val="Compact"/>
              <w:jc w:val="center"/>
            </w:pPr>
            <w:r>
              <w:t xml:space="preserve">2.319e-05</w:t>
            </w:r>
          </w:p>
        </w:tc>
      </w:tr>
      <w:tr>
        <w:tc>
          <w:p>
            <w:pPr>
              <w:pStyle w:val="Compact"/>
              <w:jc w:val="center"/>
            </w:pPr>
            <w:r>
              <w:t xml:space="preserve">IgM_BPSL1201_IMPS</w:t>
            </w:r>
          </w:p>
        </w:tc>
        <w:tc>
          <w:p>
            <w:pPr>
              <w:pStyle w:val="Compact"/>
              <w:jc w:val="center"/>
            </w:pPr>
            <w:r>
              <w:t xml:space="preserve">-0.0006715</w:t>
            </w:r>
          </w:p>
        </w:tc>
      </w:tr>
      <w:tr>
        <w:tc>
          <w:p>
            <w:pPr>
              <w:pStyle w:val="Compact"/>
              <w:jc w:val="center"/>
            </w:pPr>
            <w:r>
              <w:t xml:space="preserve">IgM_BPSL1743_Arg</w:t>
            </w:r>
          </w:p>
        </w:tc>
        <w:tc>
          <w:p>
            <w:pPr>
              <w:pStyle w:val="Compact"/>
              <w:jc w:val="center"/>
            </w:pPr>
            <w:r>
              <w:t xml:space="preserve">-0.0001083</w:t>
            </w:r>
          </w:p>
        </w:tc>
      </w:tr>
      <w:tr>
        <w:tc>
          <w:p>
            <w:pPr>
              <w:pStyle w:val="Compact"/>
              <w:jc w:val="center"/>
            </w:pPr>
            <w:r>
              <w:t xml:space="preserve">IgM_BPSL2522_OmpA</w:t>
            </w:r>
          </w:p>
        </w:tc>
        <w:tc>
          <w:p>
            <w:pPr>
              <w:pStyle w:val="Compact"/>
              <w:jc w:val="center"/>
            </w:pPr>
            <w:r>
              <w:t xml:space="preserve">-0.001747</w:t>
            </w:r>
          </w:p>
        </w:tc>
      </w:tr>
      <w:tr>
        <w:tc>
          <w:p>
            <w:pPr>
              <w:pStyle w:val="Compact"/>
              <w:jc w:val="center"/>
            </w:pPr>
            <w:r>
              <w:t xml:space="preserve">IgM_BPSL2827_DNAK</w:t>
            </w:r>
          </w:p>
        </w:tc>
        <w:tc>
          <w:p>
            <w:pPr>
              <w:pStyle w:val="Compact"/>
              <w:jc w:val="center"/>
            </w:pPr>
            <w:r>
              <w:t xml:space="preserve">0.0007385</w:t>
            </w:r>
          </w:p>
        </w:tc>
      </w:tr>
      <w:tr>
        <w:tc>
          <w:p>
            <w:pPr>
              <w:pStyle w:val="Compact"/>
              <w:jc w:val="center"/>
            </w:pPr>
            <w:r>
              <w:t xml:space="preserve">IgM_BPSL3222_rpIL</w:t>
            </w:r>
          </w:p>
        </w:tc>
        <w:tc>
          <w:p>
            <w:pPr>
              <w:pStyle w:val="Compact"/>
              <w:jc w:val="center"/>
            </w:pPr>
            <w:r>
              <w:t xml:space="preserve">-0.0003492</w:t>
            </w:r>
          </w:p>
        </w:tc>
      </w:tr>
      <w:tr>
        <w:tc>
          <w:p>
            <w:pPr>
              <w:pStyle w:val="Compact"/>
              <w:jc w:val="center"/>
            </w:pPr>
            <w:r>
              <w:t xml:space="preserve">IgM_BPSL3396_AtpD</w:t>
            </w:r>
          </w:p>
        </w:tc>
        <w:tc>
          <w:p>
            <w:pPr>
              <w:pStyle w:val="Compact"/>
              <w:jc w:val="center"/>
            </w:pPr>
            <w:r>
              <w:t xml:space="preserve">-0.0005359</w:t>
            </w:r>
          </w:p>
        </w:tc>
      </w:tr>
      <w:tr>
        <w:tc>
          <w:p>
            <w:pPr>
              <w:pStyle w:val="Compact"/>
              <w:jc w:val="center"/>
            </w:pPr>
            <w:r>
              <w:t xml:space="preserve">IgM_BPSS0135</w:t>
            </w:r>
          </w:p>
        </w:tc>
        <w:tc>
          <w:p>
            <w:pPr>
              <w:pStyle w:val="Compact"/>
              <w:jc w:val="center"/>
            </w:pPr>
            <w:r>
              <w:t xml:space="preserve">-0.000111</w:t>
            </w:r>
          </w:p>
        </w:tc>
      </w:tr>
      <w:tr>
        <w:tc>
          <w:p>
            <w:pPr>
              <w:pStyle w:val="Compact"/>
              <w:jc w:val="center"/>
            </w:pPr>
            <w:r>
              <w:t xml:space="preserve">IgM_BPSS0476_GroS</w:t>
            </w:r>
          </w:p>
        </w:tc>
        <w:tc>
          <w:p>
            <w:pPr>
              <w:pStyle w:val="Compact"/>
              <w:jc w:val="center"/>
            </w:pPr>
            <w:r>
              <w:t xml:space="preserve">-0.000494</w:t>
            </w:r>
          </w:p>
        </w:tc>
      </w:tr>
      <w:tr>
        <w:tc>
          <w:p>
            <w:pPr>
              <w:pStyle w:val="Compact"/>
              <w:jc w:val="center"/>
            </w:pPr>
            <w:r>
              <w:t xml:space="preserve">IgM_BPSS0477_GroEL2</w:t>
            </w:r>
          </w:p>
        </w:tc>
        <w:tc>
          <w:p>
            <w:pPr>
              <w:pStyle w:val="Compact"/>
              <w:jc w:val="center"/>
            </w:pPr>
            <w:r>
              <w:t xml:space="preserve">0.0007597</w:t>
            </w:r>
          </w:p>
        </w:tc>
      </w:tr>
      <w:tr>
        <w:tc>
          <w:p>
            <w:pPr>
              <w:pStyle w:val="Compact"/>
              <w:jc w:val="center"/>
            </w:pPr>
            <w:r>
              <w:t xml:space="preserve">IgM_BPSS0530</w:t>
            </w:r>
          </w:p>
        </w:tc>
        <w:tc>
          <w:p>
            <w:pPr>
              <w:pStyle w:val="Compact"/>
              <w:jc w:val="center"/>
            </w:pPr>
            <w:r>
              <w:t xml:space="preserve">0.001095</w:t>
            </w:r>
          </w:p>
        </w:tc>
      </w:tr>
      <w:tr>
        <w:tc>
          <w:p>
            <w:pPr>
              <w:pStyle w:val="Compact"/>
              <w:jc w:val="center"/>
            </w:pPr>
            <w:r>
              <w:t xml:space="preserve">IgM_BPSS1498_HCP1.B</w:t>
            </w:r>
          </w:p>
        </w:tc>
        <w:tc>
          <w:p>
            <w:pPr>
              <w:pStyle w:val="Compact"/>
              <w:jc w:val="center"/>
            </w:pPr>
            <w:r>
              <w:t xml:space="preserve">0.0001904</w:t>
            </w:r>
          </w:p>
        </w:tc>
      </w:tr>
      <w:tr>
        <w:tc>
          <w:p>
            <w:pPr>
              <w:pStyle w:val="Compact"/>
              <w:jc w:val="center"/>
            </w:pPr>
            <w:r>
              <w:t xml:space="preserve">IgM_BPSS1652</w:t>
            </w:r>
          </w:p>
        </w:tc>
        <w:tc>
          <w:p>
            <w:pPr>
              <w:pStyle w:val="Compact"/>
              <w:jc w:val="center"/>
            </w:pPr>
            <w:r>
              <w:t xml:space="preserve">0.0008359</w:t>
            </w:r>
          </w:p>
        </w:tc>
      </w:tr>
      <w:tr>
        <w:tc>
          <w:p>
            <w:pPr>
              <w:pStyle w:val="Compact"/>
              <w:jc w:val="center"/>
            </w:pPr>
            <w:r>
              <w:t xml:space="preserve">IgM_BPSS1769_NADH</w:t>
            </w:r>
          </w:p>
        </w:tc>
        <w:tc>
          <w:p>
            <w:pPr>
              <w:pStyle w:val="Compact"/>
              <w:jc w:val="center"/>
            </w:pPr>
            <w:r>
              <w:t xml:space="preserve">0.0006622</w:t>
            </w:r>
          </w:p>
        </w:tc>
      </w:tr>
      <w:tr>
        <w:tc>
          <w:p>
            <w:pPr>
              <w:pStyle w:val="Compact"/>
              <w:jc w:val="center"/>
            </w:pPr>
            <w:r>
              <w:t xml:space="preserve">IgM_BPSS1850</w:t>
            </w:r>
          </w:p>
        </w:tc>
        <w:tc>
          <w:p>
            <w:pPr>
              <w:pStyle w:val="Compact"/>
              <w:jc w:val="center"/>
            </w:pPr>
            <w:r>
              <w:t xml:space="preserve">-7.593e-05</w:t>
            </w:r>
          </w:p>
        </w:tc>
      </w:tr>
      <w:tr>
        <w:tc>
          <w:p>
            <w:pPr>
              <w:pStyle w:val="Compact"/>
              <w:jc w:val="center"/>
            </w:pPr>
            <w:r>
              <w:t xml:space="preserve">IgM_CPS</w:t>
            </w:r>
          </w:p>
        </w:tc>
        <w:tc>
          <w:p>
            <w:pPr>
              <w:pStyle w:val="Compact"/>
              <w:jc w:val="center"/>
            </w:pPr>
            <w:r>
              <w:t xml:space="preserve">0.0001627</w:t>
            </w:r>
          </w:p>
        </w:tc>
      </w:tr>
      <w:tr>
        <w:tc>
          <w:p>
            <w:pPr>
              <w:pStyle w:val="Compact"/>
              <w:jc w:val="center"/>
            </w:pPr>
            <w:r>
              <w:t xml:space="preserve">IgM_LPSA</w:t>
            </w:r>
          </w:p>
        </w:tc>
        <w:tc>
          <w:p>
            <w:pPr>
              <w:pStyle w:val="Compact"/>
              <w:jc w:val="center"/>
            </w:pPr>
            <w:r>
              <w:t xml:space="preserve">4.834e-05</w:t>
            </w:r>
          </w:p>
        </w:tc>
      </w:tr>
      <w:tr>
        <w:tc>
          <w:p>
            <w:pPr>
              <w:pStyle w:val="Compact"/>
              <w:jc w:val="center"/>
            </w:pPr>
            <w:r>
              <w:t xml:space="preserve">IgM_LPSB</w:t>
            </w:r>
          </w:p>
        </w:tc>
        <w:tc>
          <w:p>
            <w:pPr>
              <w:pStyle w:val="Compact"/>
              <w:jc w:val="center"/>
            </w:pPr>
            <w:r>
              <w:t xml:space="preserve">-0.0002087</w:t>
            </w:r>
          </w:p>
        </w:tc>
      </w:tr>
      <w:tr>
        <w:tc>
          <w:p>
            <w:pPr>
              <w:pStyle w:val="Compact"/>
              <w:jc w:val="center"/>
            </w:pPr>
            <w:r>
              <w:t xml:space="preserve">IgM_MSHR5855.WCL</w:t>
            </w:r>
          </w:p>
        </w:tc>
        <w:tc>
          <w:p>
            <w:pPr>
              <w:pStyle w:val="Compact"/>
              <w:jc w:val="center"/>
            </w:pPr>
            <w:r>
              <w:t xml:space="preserve">-0.001502</w:t>
            </w:r>
          </w:p>
        </w:tc>
      </w:tr>
    </w:tbl>
    <w:p>
      <w:pPr>
        <w:pStyle w:val="Heading4"/>
      </w:pPr>
      <w:bookmarkStart w:id="28" w:name="both-igg-and-igm"/>
      <w:r>
        <w:t xml:space="preserve">Both IgG and IgM</w:t>
      </w:r>
      <w:bookmarkEnd w:id="28"/>
    </w:p>
    <w:tbl>
      <w:tblPr>
        <w:tblStyle w:val="Table"/>
        <w:tblW w:type="pct" w:w="1527.7777777777778"/>
        <w:tblLook w:firstRow="1"/>
      </w:tblPr>
      <w:tblGrid>
        <w:gridCol w:w="1980"/>
        <w:gridCol w:w="440"/>
      </w:tblGrid>
      <w:tr>
        <w:trPr>
          <w:cnfStyle w:firstRow="1"/>
        </w:trPr>
        <w:tc>
          <w:tcPr>
            <w:tcBorders>
              <w:bottom w:val="single"/>
            </w:tcBorders>
            <w:vAlign w:val="bottom"/>
          </w:tcPr>
          <w:p>
            <w:pPr>
              <w:pStyle w:val="Compact"/>
              <w:jc w:val="center"/>
            </w:pPr>
            <w:r>
              <w:t xml:space="preserve">Antigen</w:t>
            </w:r>
          </w:p>
        </w:tc>
        <w:tc>
          <w:tcPr>
            <w:tcBorders>
              <w:bottom w:val="single"/>
            </w:tcBorders>
            <w:vAlign w:val="bottom"/>
          </w:tcPr>
          <w:p>
            <w:pPr>
              <w:pStyle w:val="Compact"/>
              <w:jc w:val="center"/>
            </w:pPr>
            <w:r>
              <w:t xml:space="preserve">n</w:t>
            </w:r>
          </w:p>
        </w:tc>
      </w:tr>
      <w:tr>
        <w:tc>
          <w:p>
            <w:pPr>
              <w:pStyle w:val="Compact"/>
              <w:jc w:val="center"/>
            </w:pPr>
            <w:r>
              <w:t xml:space="preserve">BPSL1201_IMPS</w:t>
            </w:r>
          </w:p>
        </w:tc>
        <w:tc>
          <w:p>
            <w:pPr>
              <w:pStyle w:val="Compact"/>
              <w:jc w:val="center"/>
            </w:pPr>
            <w:r>
              <w:t xml:space="preserve">1</w:t>
            </w:r>
          </w:p>
        </w:tc>
      </w:tr>
      <w:tr>
        <w:tc>
          <w:p>
            <w:pPr>
              <w:pStyle w:val="Compact"/>
              <w:jc w:val="center"/>
            </w:pPr>
            <w:r>
              <w:t xml:space="preserve">BPSL1743_Arg</w:t>
            </w:r>
          </w:p>
        </w:tc>
        <w:tc>
          <w:p>
            <w:pPr>
              <w:pStyle w:val="Compact"/>
              <w:jc w:val="center"/>
            </w:pPr>
            <w:r>
              <w:t xml:space="preserve">2</w:t>
            </w:r>
          </w:p>
        </w:tc>
      </w:tr>
      <w:tr>
        <w:tc>
          <w:p>
            <w:pPr>
              <w:pStyle w:val="Compact"/>
              <w:jc w:val="center"/>
            </w:pPr>
            <w:r>
              <w:t xml:space="preserve">BPSL2522_OmpA</w:t>
            </w:r>
          </w:p>
        </w:tc>
        <w:tc>
          <w:p>
            <w:pPr>
              <w:pStyle w:val="Compact"/>
              <w:jc w:val="center"/>
            </w:pPr>
            <w:r>
              <w:t xml:space="preserve">2</w:t>
            </w:r>
          </w:p>
        </w:tc>
      </w:tr>
      <w:tr>
        <w:tc>
          <w:p>
            <w:pPr>
              <w:pStyle w:val="Compact"/>
              <w:jc w:val="center"/>
            </w:pPr>
            <w:r>
              <w:t xml:space="preserve">BPSL2827_DNAK</w:t>
            </w:r>
          </w:p>
        </w:tc>
        <w:tc>
          <w:p>
            <w:pPr>
              <w:pStyle w:val="Compact"/>
              <w:jc w:val="center"/>
            </w:pPr>
            <w:r>
              <w:t xml:space="preserve">2</w:t>
            </w:r>
          </w:p>
        </w:tc>
      </w:tr>
      <w:tr>
        <w:tc>
          <w:p>
            <w:pPr>
              <w:pStyle w:val="Compact"/>
              <w:jc w:val="center"/>
            </w:pPr>
            <w:r>
              <w:t xml:space="preserve">BPSL3222_rpIL</w:t>
            </w:r>
          </w:p>
        </w:tc>
        <w:tc>
          <w:p>
            <w:pPr>
              <w:pStyle w:val="Compact"/>
              <w:jc w:val="center"/>
            </w:pPr>
            <w:r>
              <w:t xml:space="preserve">1</w:t>
            </w:r>
          </w:p>
        </w:tc>
      </w:tr>
      <w:tr>
        <w:tc>
          <w:p>
            <w:pPr>
              <w:pStyle w:val="Compact"/>
              <w:jc w:val="center"/>
            </w:pPr>
            <w:r>
              <w:t xml:space="preserve">BPSL3396_AtpD</w:t>
            </w:r>
          </w:p>
        </w:tc>
        <w:tc>
          <w:p>
            <w:pPr>
              <w:pStyle w:val="Compact"/>
              <w:jc w:val="center"/>
            </w:pPr>
            <w:r>
              <w:t xml:space="preserve">1</w:t>
            </w:r>
          </w:p>
        </w:tc>
      </w:tr>
      <w:tr>
        <w:tc>
          <w:p>
            <w:pPr>
              <w:pStyle w:val="Compact"/>
              <w:jc w:val="center"/>
            </w:pPr>
            <w:r>
              <w:t xml:space="preserve">BPSS0135</w:t>
            </w:r>
          </w:p>
        </w:tc>
        <w:tc>
          <w:p>
            <w:pPr>
              <w:pStyle w:val="Compact"/>
              <w:jc w:val="center"/>
            </w:pPr>
            <w:r>
              <w:t xml:space="preserve">2</w:t>
            </w:r>
          </w:p>
        </w:tc>
      </w:tr>
      <w:tr>
        <w:tc>
          <w:p>
            <w:pPr>
              <w:pStyle w:val="Compact"/>
              <w:jc w:val="center"/>
            </w:pPr>
            <w:r>
              <w:t xml:space="preserve">BPSS0476_GroS</w:t>
            </w:r>
          </w:p>
        </w:tc>
        <w:tc>
          <w:p>
            <w:pPr>
              <w:pStyle w:val="Compact"/>
              <w:jc w:val="center"/>
            </w:pPr>
            <w:r>
              <w:t xml:space="preserve">1</w:t>
            </w:r>
          </w:p>
        </w:tc>
      </w:tr>
      <w:tr>
        <w:tc>
          <w:p>
            <w:pPr>
              <w:pStyle w:val="Compact"/>
              <w:jc w:val="center"/>
            </w:pPr>
            <w:r>
              <w:t xml:space="preserve">BPSS0477_GroEL2</w:t>
            </w:r>
          </w:p>
        </w:tc>
        <w:tc>
          <w:p>
            <w:pPr>
              <w:pStyle w:val="Compact"/>
              <w:jc w:val="center"/>
            </w:pPr>
            <w:r>
              <w:t xml:space="preserve">1</w:t>
            </w:r>
          </w:p>
        </w:tc>
      </w:tr>
      <w:tr>
        <w:tc>
          <w:p>
            <w:pPr>
              <w:pStyle w:val="Compact"/>
              <w:jc w:val="center"/>
            </w:pPr>
            <w:r>
              <w:t xml:space="preserve">BPSS0530</w:t>
            </w:r>
          </w:p>
        </w:tc>
        <w:tc>
          <w:p>
            <w:pPr>
              <w:pStyle w:val="Compact"/>
              <w:jc w:val="center"/>
            </w:pPr>
            <w:r>
              <w:t xml:space="preserve">2</w:t>
            </w:r>
          </w:p>
        </w:tc>
      </w:tr>
      <w:tr>
        <w:tc>
          <w:p>
            <w:pPr>
              <w:pStyle w:val="Compact"/>
              <w:jc w:val="center"/>
            </w:pPr>
            <w:r>
              <w:t xml:space="preserve">BPSS1498_HCP1.B</w:t>
            </w:r>
          </w:p>
        </w:tc>
        <w:tc>
          <w:p>
            <w:pPr>
              <w:pStyle w:val="Compact"/>
              <w:jc w:val="center"/>
            </w:pPr>
            <w:r>
              <w:t xml:space="preserve">2</w:t>
            </w:r>
          </w:p>
        </w:tc>
      </w:tr>
      <w:tr>
        <w:tc>
          <w:p>
            <w:pPr>
              <w:pStyle w:val="Compact"/>
              <w:jc w:val="center"/>
            </w:pPr>
            <w:r>
              <w:t xml:space="preserve">BPSS1652</w:t>
            </w:r>
          </w:p>
        </w:tc>
        <w:tc>
          <w:p>
            <w:pPr>
              <w:pStyle w:val="Compact"/>
              <w:jc w:val="center"/>
            </w:pPr>
            <w:r>
              <w:t xml:space="preserve">2</w:t>
            </w:r>
          </w:p>
        </w:tc>
      </w:tr>
      <w:tr>
        <w:tc>
          <w:p>
            <w:pPr>
              <w:pStyle w:val="Compact"/>
              <w:jc w:val="center"/>
            </w:pPr>
            <w:r>
              <w:t xml:space="preserve">BPSS1769_NADH</w:t>
            </w:r>
          </w:p>
        </w:tc>
        <w:tc>
          <w:p>
            <w:pPr>
              <w:pStyle w:val="Compact"/>
              <w:jc w:val="center"/>
            </w:pPr>
            <w:r>
              <w:t xml:space="preserve">1</w:t>
            </w:r>
          </w:p>
        </w:tc>
      </w:tr>
      <w:tr>
        <w:tc>
          <w:p>
            <w:pPr>
              <w:pStyle w:val="Compact"/>
              <w:jc w:val="center"/>
            </w:pPr>
            <w:r>
              <w:t xml:space="preserve">BPSS1850</w:t>
            </w:r>
          </w:p>
        </w:tc>
        <w:tc>
          <w:p>
            <w:pPr>
              <w:pStyle w:val="Compact"/>
              <w:jc w:val="center"/>
            </w:pPr>
            <w:r>
              <w:t xml:space="preserve">2</w:t>
            </w:r>
          </w:p>
        </w:tc>
      </w:tr>
      <w:tr>
        <w:tc>
          <w:p>
            <w:pPr>
              <w:pStyle w:val="Compact"/>
              <w:jc w:val="center"/>
            </w:pPr>
            <w:r>
              <w:t xml:space="preserve">CPS</w:t>
            </w:r>
          </w:p>
        </w:tc>
        <w:tc>
          <w:p>
            <w:pPr>
              <w:pStyle w:val="Compact"/>
              <w:jc w:val="center"/>
            </w:pPr>
            <w:r>
              <w:t xml:space="preserve">1</w:t>
            </w:r>
          </w:p>
        </w:tc>
      </w:tr>
      <w:tr>
        <w:tc>
          <w:p>
            <w:pPr>
              <w:pStyle w:val="Compact"/>
              <w:jc w:val="center"/>
            </w:pPr>
            <w:r>
              <w:t xml:space="preserve">LPSA</w:t>
            </w:r>
          </w:p>
        </w:tc>
        <w:tc>
          <w:p>
            <w:pPr>
              <w:pStyle w:val="Compact"/>
              <w:jc w:val="center"/>
            </w:pPr>
            <w:r>
              <w:t xml:space="preserve">2</w:t>
            </w:r>
          </w:p>
        </w:tc>
      </w:tr>
      <w:tr>
        <w:tc>
          <w:p>
            <w:pPr>
              <w:pStyle w:val="Compact"/>
              <w:jc w:val="center"/>
            </w:pPr>
            <w:r>
              <w:t xml:space="preserve">LPSB</w:t>
            </w:r>
          </w:p>
        </w:tc>
        <w:tc>
          <w:p>
            <w:pPr>
              <w:pStyle w:val="Compact"/>
              <w:jc w:val="center"/>
            </w:pPr>
            <w:r>
              <w:t xml:space="preserve">2</w:t>
            </w:r>
          </w:p>
        </w:tc>
      </w:tr>
      <w:tr>
        <w:tc>
          <w:p>
            <w:pPr>
              <w:pStyle w:val="Compact"/>
              <w:jc w:val="center"/>
            </w:pPr>
            <w:r>
              <w:t xml:space="preserve">MSHR5855.WCL</w:t>
            </w:r>
          </w:p>
        </w:tc>
        <w:tc>
          <w:p>
            <w:pPr>
              <w:pStyle w:val="Compact"/>
              <w:jc w:val="center"/>
            </w:pPr>
            <w:r>
              <w:t xml:space="preserve">1</w:t>
            </w:r>
          </w:p>
        </w:tc>
      </w:tr>
    </w:tbl>
    <w:p>
      <w:pPr>
        <w:pStyle w:val="Heading2"/>
      </w:pPr>
      <w:bookmarkStart w:id="29" w:name="what-happens-as-we-decrease-the-number-of-covariates"/>
      <w:r>
        <w:t xml:space="preserve">What happens as we decrease the number of covariates?</w:t>
      </w:r>
      <w:bookmarkEnd w:id="29"/>
    </w:p>
    <w:p>
      <w:pPr>
        <w:pStyle w:val="FirstParagraph"/>
      </w:pPr>
      <w:r>
        <w:t xml:space="preserve">For the LASSO models, as the shrinkage parameter</w:t>
      </w:r>
      <w:r>
        <w:t xml:space="preserve"> </w:t>
      </w:r>
      <m:oMath>
        <m:r>
          <m:t>λ</m:t>
        </m:r>
      </m:oMath>
      <w:r>
        <w:t xml:space="preserve"> </w:t>
      </w:r>
      <w:r>
        <w:t xml:space="preserve">increases, the number of non-zero model coefficients decreases. We can examine how the AUC decreases as a function of</w:t>
      </w:r>
      <w:r>
        <w:t xml:space="preserve"> </w:t>
      </w:r>
      <m:oMath>
        <m:r>
          <m:t>λ</m:t>
        </m:r>
      </m:oMath>
      <w:r>
        <w:t xml:space="preserve">, and therefore indirectly as a function of number of non-zero model coefficients. In the following graphs, the numbers along the top of the graph represent the number of non-zero coefficients. The dotted line on the right represents the selected shrinkage value we used for the Full LASSO models.</w:t>
      </w:r>
      <w:r>
        <w:t xml:space="preserve"> </w:t>
      </w:r>
      <w:r>
        <w:drawing>
          <wp:inline>
            <wp:extent cx="5334000" cy="6934200"/>
            <wp:effectExtent b="0" l="0" r="0" t="0"/>
            <wp:docPr descr="" title="" id="1" name="Picture"/>
            <a:graphic>
              <a:graphicData uri="http://schemas.openxmlformats.org/drawingml/2006/picture">
                <pic:pic>
                  <pic:nvPicPr>
                    <pic:cNvPr descr="sensitivity_and_specificity_files/figure-docx/unnamed-chunk-6-1.png" id="0" name="Picture"/>
                    <pic:cNvPicPr>
                      <a:picLocks noChangeArrowheads="1" noChangeAspect="1"/>
                    </pic:cNvPicPr>
                  </pic:nvPicPr>
                  <pic:blipFill>
                    <a:blip r:embed="rId30"/>
                    <a:stretch>
                      <a:fillRect/>
                    </a:stretch>
                  </pic:blipFill>
                  <pic:spPr bwMode="auto">
                    <a:xfrm>
                      <a:off x="0" y="0"/>
                      <a:ext cx="5334000" cy="6934200"/>
                    </a:xfrm>
                    <a:prstGeom prst="rect">
                      <a:avLst/>
                    </a:prstGeom>
                    <a:noFill/>
                    <a:ln w="9525">
                      <a:noFill/>
                      <a:headEnd/>
                      <a:tailEnd/>
                    </a:ln>
                  </pic:spPr>
                </pic:pic>
              </a:graphicData>
            </a:graphic>
          </wp:inline>
        </w:drawing>
      </w:r>
    </w:p>
    <w:p>
      <w:pPr>
        <w:pStyle w:val="Heading1"/>
      </w:pPr>
      <w:bookmarkStart w:id="31" w:name="nonhuman-primate"/>
      <w:r>
        <w:t xml:space="preserve">Nonhuman Primate</w:t>
      </w:r>
      <w:bookmarkEnd w:id="31"/>
    </w:p>
    <w:p>
      <w:pPr>
        <w:pStyle w:val="FirstParagraph"/>
      </w:pPr>
      <w:r>
        <w:t xml:space="preserve">The nonhuman primate data was collected from both the Batelle and Tulane information. When I created the testing and training sets, we split the Batelle individual subjects equally into the test and training sets and likewise split the Tulane negative individuals equally into the test and training sets. We created two NHP train/test sets. The first version Batelle animals were selected randomly from Batelle animals that survived for the full experiment. The second training/testing set were created from the complete dataset.</w:t>
      </w:r>
    </w:p>
    <w:p>
      <w:pPr>
        <w:pStyle w:val="Heading2"/>
      </w:pPr>
      <w:bookmarkStart w:id="32" w:name="nhp-version-1"/>
      <w:r>
        <w:t xml:space="preserve">NHP Version 1</w:t>
      </w:r>
      <w:bookmarkEnd w:id="32"/>
    </w:p>
    <w:tbl>
      <w:tblPr>
        <w:tblStyle w:val="Table"/>
        <w:tblW w:type="pct" w:w="2638.888888888889"/>
        <w:tblLook w:firstRow="1"/>
      </w:tblPr>
      <w:tblGrid>
        <w:gridCol w:w="1210"/>
        <w:gridCol w:w="1210"/>
        <w:gridCol w:w="550"/>
        <w:gridCol w:w="1210"/>
      </w:tblGrid>
      <w:tr>
        <w:trPr>
          <w:cnfStyle w:firstRow="1"/>
        </w:trPr>
        <w:tc>
          <w:tcPr>
            <w:tcBorders>
              <w:bottom w:val="single"/>
            </w:tcBorders>
            <w:vAlign w:val="bottom"/>
          </w:tcPr>
          <w:p>
            <w:pPr>
              <w:pStyle w:val="Compact"/>
              <w:jc w:val="center"/>
            </w:pPr>
            <w:r>
              <w:t xml:space="preserve">Origin</w:t>
            </w:r>
          </w:p>
        </w:tc>
        <w:tc>
          <w:tcPr>
            <w:tcBorders>
              <w:bottom w:val="single"/>
            </w:tcBorders>
            <w:vAlign w:val="bottom"/>
          </w:tcPr>
          <w:p>
            <w:pPr>
              <w:pStyle w:val="Compact"/>
              <w:jc w:val="center"/>
            </w:pPr>
            <w:r>
              <w:t xml:space="preserve">Status</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Type</w:t>
            </w:r>
          </w:p>
        </w:tc>
      </w:tr>
      <w:tr>
        <w:tc>
          <w:p>
            <w:pPr>
              <w:pStyle w:val="Compact"/>
              <w:jc w:val="center"/>
            </w:pPr>
            <w:r>
              <w:t xml:space="preserve">Battelle</w:t>
            </w:r>
          </w:p>
        </w:tc>
        <w:tc>
          <w:p>
            <w:pPr>
              <w:pStyle w:val="Compact"/>
              <w:jc w:val="center"/>
            </w:pPr>
            <w:r>
              <w:t xml:space="preserve">Negative</w:t>
            </w:r>
          </w:p>
        </w:tc>
        <w:tc>
          <w:p>
            <w:pPr>
              <w:pStyle w:val="Compact"/>
              <w:jc w:val="center"/>
            </w:pPr>
            <w:r>
              <w:t xml:space="preserve">6</w:t>
            </w:r>
          </w:p>
        </w:tc>
        <w:tc>
          <w:p>
            <w:pPr>
              <w:pStyle w:val="Compact"/>
              <w:jc w:val="center"/>
            </w:pPr>
            <w:r>
              <w:t xml:space="preserve">Training</w:t>
            </w:r>
          </w:p>
        </w:tc>
      </w:tr>
      <w:tr>
        <w:tc>
          <w:p>
            <w:pPr>
              <w:pStyle w:val="Compact"/>
              <w:jc w:val="center"/>
            </w:pPr>
            <w:r>
              <w:t xml:space="preserve">Battelle</w:t>
            </w:r>
          </w:p>
        </w:tc>
        <w:tc>
          <w:p>
            <w:pPr>
              <w:pStyle w:val="Compact"/>
              <w:jc w:val="center"/>
            </w:pPr>
            <w:r>
              <w:t xml:space="preserve">Melioid</w:t>
            </w:r>
          </w:p>
        </w:tc>
        <w:tc>
          <w:p>
            <w:pPr>
              <w:pStyle w:val="Compact"/>
              <w:jc w:val="center"/>
            </w:pPr>
            <w:r>
              <w:t xml:space="preserve">10</w:t>
            </w:r>
          </w:p>
        </w:tc>
        <w:tc>
          <w:p>
            <w:pPr>
              <w:pStyle w:val="Compact"/>
              <w:jc w:val="center"/>
            </w:pPr>
            <w:r>
              <w:t xml:space="preserve">Training</w:t>
            </w:r>
          </w:p>
        </w:tc>
      </w:tr>
      <w:tr>
        <w:tc>
          <w:p>
            <w:pPr>
              <w:pStyle w:val="Compact"/>
              <w:jc w:val="center"/>
            </w:pPr>
            <w:r>
              <w:t xml:space="preserve">Tulane</w:t>
            </w:r>
          </w:p>
        </w:tc>
        <w:tc>
          <w:p>
            <w:pPr>
              <w:pStyle w:val="Compact"/>
              <w:jc w:val="center"/>
            </w:pPr>
            <w:r>
              <w:t xml:space="preserve">Negative</w:t>
            </w:r>
          </w:p>
        </w:tc>
        <w:tc>
          <w:p>
            <w:pPr>
              <w:pStyle w:val="Compact"/>
              <w:jc w:val="center"/>
            </w:pPr>
            <w:r>
              <w:t xml:space="preserve">24</w:t>
            </w:r>
          </w:p>
        </w:tc>
        <w:tc>
          <w:p>
            <w:pPr>
              <w:pStyle w:val="Compact"/>
              <w:jc w:val="center"/>
            </w:pPr>
            <w:r>
              <w:t xml:space="preserve">Training</w:t>
            </w:r>
          </w:p>
        </w:tc>
      </w:tr>
      <w:tr>
        <w:tc>
          <w:p>
            <w:pPr>
              <w:pStyle w:val="Compact"/>
              <w:jc w:val="center"/>
            </w:pPr>
            <w:r>
              <w:t xml:space="preserve">Battelle</w:t>
            </w:r>
          </w:p>
        </w:tc>
        <w:tc>
          <w:p>
            <w:pPr>
              <w:pStyle w:val="Compact"/>
              <w:jc w:val="center"/>
            </w:pPr>
            <w:r>
              <w:t xml:space="preserve">Negative</w:t>
            </w:r>
          </w:p>
        </w:tc>
        <w:tc>
          <w:p>
            <w:pPr>
              <w:pStyle w:val="Compact"/>
              <w:jc w:val="center"/>
            </w:pPr>
            <w:r>
              <w:t xml:space="preserve">6</w:t>
            </w:r>
          </w:p>
        </w:tc>
        <w:tc>
          <w:p>
            <w:pPr>
              <w:pStyle w:val="Compact"/>
              <w:jc w:val="center"/>
            </w:pPr>
            <w:r>
              <w:t xml:space="preserve">Test</w:t>
            </w:r>
          </w:p>
        </w:tc>
      </w:tr>
      <w:tr>
        <w:tc>
          <w:p>
            <w:pPr>
              <w:pStyle w:val="Compact"/>
              <w:jc w:val="center"/>
            </w:pPr>
            <w:r>
              <w:t xml:space="preserve">Battelle</w:t>
            </w:r>
          </w:p>
        </w:tc>
        <w:tc>
          <w:p>
            <w:pPr>
              <w:pStyle w:val="Compact"/>
              <w:jc w:val="center"/>
            </w:pPr>
            <w:r>
              <w:t xml:space="preserve">Melioid</w:t>
            </w:r>
          </w:p>
        </w:tc>
        <w:tc>
          <w:p>
            <w:pPr>
              <w:pStyle w:val="Compact"/>
              <w:jc w:val="center"/>
            </w:pPr>
            <w:r>
              <w:t xml:space="preserve">12</w:t>
            </w:r>
          </w:p>
        </w:tc>
        <w:tc>
          <w:p>
            <w:pPr>
              <w:pStyle w:val="Compact"/>
              <w:jc w:val="center"/>
            </w:pPr>
            <w:r>
              <w:t xml:space="preserve">Test</w:t>
            </w:r>
          </w:p>
        </w:tc>
      </w:tr>
      <w:tr>
        <w:tc>
          <w:p>
            <w:pPr>
              <w:pStyle w:val="Compact"/>
              <w:jc w:val="center"/>
            </w:pPr>
            <w:r>
              <w:t xml:space="preserve">Tulane</w:t>
            </w:r>
          </w:p>
        </w:tc>
        <w:tc>
          <w:p>
            <w:pPr>
              <w:pStyle w:val="Compact"/>
              <w:jc w:val="center"/>
            </w:pPr>
            <w:r>
              <w:t xml:space="preserve">Negative</w:t>
            </w:r>
          </w:p>
        </w:tc>
        <w:tc>
          <w:p>
            <w:pPr>
              <w:pStyle w:val="Compact"/>
              <w:jc w:val="center"/>
            </w:pPr>
            <w:r>
              <w:t xml:space="preserve">23</w:t>
            </w:r>
          </w:p>
        </w:tc>
        <w:tc>
          <w:p>
            <w:pPr>
              <w:pStyle w:val="Compact"/>
              <w:jc w:val="center"/>
            </w:pPr>
            <w:r>
              <w:t xml:space="preserve">Test</w:t>
            </w:r>
          </w:p>
        </w:tc>
      </w:tr>
    </w:tbl>
    <w:p>
      <w:pPr>
        <w:pStyle w:val="BodyText"/>
      </w:pPr>
      <w:r>
        <w:t xml:space="preserve">We next look at the AUC values for the Testing set based on either the model trained on just the training set vs the model trained on the full Version 1 dataset. Because we would expect the model trained on the test data would perform well on the test set, we should only draw conclusions from the model built from the training set. The only reason the model built from the full dataset exists is to be able to use it on future data. I show these results here just to verify that the full model doesn’t do worse than the training model.</w:t>
      </w:r>
    </w:p>
    <w:p>
      <w:pPr>
        <w:pStyle w:val="SourceCode"/>
      </w:pPr>
      <w:r>
        <w:rPr>
          <w:rStyle w:val="VerbatimChar"/>
        </w:rPr>
        <w:t xml:space="preserve">## Warning: Removed 8 rows containing missing values (geom_point).</w:t>
      </w:r>
      <w:r>
        <w:br w:type="textWrapping"/>
      </w:r>
      <w:r>
        <w:rPr>
          <w:rStyle w:val="VerbatimChar"/>
        </w:rPr>
        <w:t xml:space="preserve">## Warning: Removed 8 rows containing missing values (geom_errorbar).</w:t>
      </w:r>
    </w:p>
    <w:p>
      <w:pPr>
        <w:pStyle w:val="FirstParagraph"/>
      </w:pPr>
      <w:r>
        <w:drawing>
          <wp:inline>
            <wp:extent cx="5334000" cy="3111500"/>
            <wp:effectExtent b="0" l="0" r="0" t="0"/>
            <wp:docPr descr="" title="" id="1" name="Picture"/>
            <a:graphic>
              <a:graphicData uri="http://schemas.openxmlformats.org/drawingml/2006/picture">
                <pic:pic>
                  <pic:nvPicPr>
                    <pic:cNvPr descr="sensitivity_and_specificity_files/figure-docx/NHP_V1_ROC_Display-1.png" id="0" name="Picture"/>
                    <pic:cNvPicPr>
                      <a:picLocks noChangeArrowheads="1" noChangeAspect="1"/>
                    </pic:cNvPicPr>
                  </pic:nvPicPr>
                  <pic:blipFill>
                    <a:blip r:embed="rId33"/>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For the Non-human primates, we see that the models that were trained on only the training data still</w:t>
      </w:r>
      <w:r>
        <w:t xml:space="preserve"> </w:t>
      </w:r>
      <w:r>
        <w:t xml:space="preserve">did quite well in predicting the testing set with AUC values in the 90s. However the models trained</w:t>
      </w:r>
      <w:r>
        <w:t xml:space="preserve"> </w:t>
      </w:r>
      <w:r>
        <w:t xml:space="preserve">with both the test and training sets (aka</w:t>
      </w:r>
      <w:r>
        <w:t xml:space="preserve"> </w:t>
      </w:r>
      <w:r>
        <w:t xml:space="preserve">“</w:t>
      </w:r>
      <w:r>
        <w:t xml:space="preserve">Full</w:t>
      </w:r>
      <w:r>
        <w:t xml:space="preserve">”</w:t>
      </w:r>
      <w:r>
        <w:t xml:space="preserve"> </w:t>
      </w:r>
      <w:r>
        <w:t xml:space="preserve">data), did a better job predicting the testing set,</w:t>
      </w:r>
      <w:r>
        <w:t xml:space="preserve"> </w:t>
      </w:r>
      <w:r>
        <w:t xml:space="preserve">as we would expect. Notably, there isn’t a huge difference in prediction capabilities and, unlike</w:t>
      </w:r>
      <w:r>
        <w:t xml:space="preserve"> </w:t>
      </w:r>
      <w:r>
        <w:t xml:space="preserve">the human data, we see that the IgM serum is better at prediction than the IgG.</w:t>
      </w:r>
    </w:p>
    <w:p>
      <w:pPr>
        <w:pStyle w:val="Heading2"/>
      </w:pPr>
      <w:bookmarkStart w:id="34" w:name="nhp-version-3"/>
      <w:r>
        <w:t xml:space="preserve">NHP Version 3</w:t>
      </w:r>
      <w:bookmarkEnd w:id="34"/>
    </w:p>
    <w:tbl>
      <w:tblPr>
        <w:tblStyle w:val="Table"/>
        <w:tblW w:type="pct" w:w="2638.888888888889"/>
        <w:tblLook w:firstRow="1"/>
      </w:tblPr>
      <w:tblGrid>
        <w:gridCol w:w="1210"/>
        <w:gridCol w:w="1210"/>
        <w:gridCol w:w="550"/>
        <w:gridCol w:w="1210"/>
      </w:tblGrid>
      <w:tr>
        <w:trPr>
          <w:cnfStyle w:firstRow="1"/>
        </w:trPr>
        <w:tc>
          <w:tcPr>
            <w:tcBorders>
              <w:bottom w:val="single"/>
            </w:tcBorders>
            <w:vAlign w:val="bottom"/>
          </w:tcPr>
          <w:p>
            <w:pPr>
              <w:pStyle w:val="Compact"/>
              <w:jc w:val="center"/>
            </w:pPr>
            <w:r>
              <w:t xml:space="preserve">Origin</w:t>
            </w:r>
          </w:p>
        </w:tc>
        <w:tc>
          <w:tcPr>
            <w:tcBorders>
              <w:bottom w:val="single"/>
            </w:tcBorders>
            <w:vAlign w:val="bottom"/>
          </w:tcPr>
          <w:p>
            <w:pPr>
              <w:pStyle w:val="Compact"/>
              <w:jc w:val="center"/>
            </w:pPr>
            <w:r>
              <w:t xml:space="preserve">Status</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Type</w:t>
            </w:r>
          </w:p>
        </w:tc>
      </w:tr>
      <w:tr>
        <w:tc>
          <w:p>
            <w:pPr>
              <w:pStyle w:val="Compact"/>
              <w:jc w:val="center"/>
            </w:pPr>
            <w:r>
              <w:t xml:space="preserve">Battelle</w:t>
            </w:r>
          </w:p>
        </w:tc>
        <w:tc>
          <w:p>
            <w:pPr>
              <w:pStyle w:val="Compact"/>
              <w:jc w:val="center"/>
            </w:pPr>
            <w:r>
              <w:t xml:space="preserve">Negative</w:t>
            </w:r>
          </w:p>
        </w:tc>
        <w:tc>
          <w:p>
            <w:pPr>
              <w:pStyle w:val="Compact"/>
              <w:jc w:val="center"/>
            </w:pPr>
            <w:r>
              <w:t xml:space="preserve">40</w:t>
            </w:r>
          </w:p>
        </w:tc>
        <w:tc>
          <w:p>
            <w:pPr>
              <w:pStyle w:val="Compact"/>
              <w:jc w:val="center"/>
            </w:pPr>
            <w:r>
              <w:t xml:space="preserve">Training</w:t>
            </w:r>
          </w:p>
        </w:tc>
      </w:tr>
      <w:tr>
        <w:tc>
          <w:p>
            <w:pPr>
              <w:pStyle w:val="Compact"/>
              <w:jc w:val="center"/>
            </w:pPr>
            <w:r>
              <w:t xml:space="preserve">Battelle</w:t>
            </w:r>
          </w:p>
        </w:tc>
        <w:tc>
          <w:p>
            <w:pPr>
              <w:pStyle w:val="Compact"/>
              <w:jc w:val="center"/>
            </w:pPr>
            <w:r>
              <w:t xml:space="preserve">Melioid</w:t>
            </w:r>
          </w:p>
        </w:tc>
        <w:tc>
          <w:p>
            <w:pPr>
              <w:pStyle w:val="Compact"/>
              <w:jc w:val="center"/>
            </w:pPr>
            <w:r>
              <w:t xml:space="preserve">39</w:t>
            </w:r>
          </w:p>
        </w:tc>
        <w:tc>
          <w:p>
            <w:pPr>
              <w:pStyle w:val="Compact"/>
              <w:jc w:val="center"/>
            </w:pPr>
            <w:r>
              <w:t xml:space="preserve">Training</w:t>
            </w:r>
          </w:p>
        </w:tc>
      </w:tr>
      <w:tr>
        <w:tc>
          <w:p>
            <w:pPr>
              <w:pStyle w:val="Compact"/>
              <w:jc w:val="center"/>
            </w:pPr>
            <w:r>
              <w:t xml:space="preserve">Tulane</w:t>
            </w:r>
          </w:p>
        </w:tc>
        <w:tc>
          <w:p>
            <w:pPr>
              <w:pStyle w:val="Compact"/>
              <w:jc w:val="center"/>
            </w:pPr>
            <w:r>
              <w:t xml:space="preserve">Negative</w:t>
            </w:r>
          </w:p>
        </w:tc>
        <w:tc>
          <w:p>
            <w:pPr>
              <w:pStyle w:val="Compact"/>
              <w:jc w:val="center"/>
            </w:pPr>
            <w:r>
              <w:t xml:space="preserve">24</w:t>
            </w:r>
          </w:p>
        </w:tc>
        <w:tc>
          <w:p>
            <w:pPr>
              <w:pStyle w:val="Compact"/>
              <w:jc w:val="center"/>
            </w:pPr>
            <w:r>
              <w:t xml:space="preserve">Training</w:t>
            </w:r>
          </w:p>
        </w:tc>
      </w:tr>
      <w:tr>
        <w:tc>
          <w:p>
            <w:pPr>
              <w:pStyle w:val="Compact"/>
              <w:jc w:val="center"/>
            </w:pPr>
            <w:r>
              <w:t xml:space="preserve">Battelle</w:t>
            </w:r>
          </w:p>
        </w:tc>
        <w:tc>
          <w:p>
            <w:pPr>
              <w:pStyle w:val="Compact"/>
              <w:jc w:val="center"/>
            </w:pPr>
            <w:r>
              <w:t xml:space="preserve">Negative</w:t>
            </w:r>
          </w:p>
        </w:tc>
        <w:tc>
          <w:p>
            <w:pPr>
              <w:pStyle w:val="Compact"/>
              <w:jc w:val="center"/>
            </w:pPr>
            <w:r>
              <w:t xml:space="preserve">39</w:t>
            </w:r>
          </w:p>
        </w:tc>
        <w:tc>
          <w:p>
            <w:pPr>
              <w:pStyle w:val="Compact"/>
              <w:jc w:val="center"/>
            </w:pPr>
            <w:r>
              <w:t xml:space="preserve">Test</w:t>
            </w:r>
          </w:p>
        </w:tc>
      </w:tr>
      <w:tr>
        <w:tc>
          <w:p>
            <w:pPr>
              <w:pStyle w:val="Compact"/>
              <w:jc w:val="center"/>
            </w:pPr>
            <w:r>
              <w:t xml:space="preserve">Battelle</w:t>
            </w:r>
          </w:p>
        </w:tc>
        <w:tc>
          <w:p>
            <w:pPr>
              <w:pStyle w:val="Compact"/>
              <w:jc w:val="center"/>
            </w:pPr>
            <w:r>
              <w:t xml:space="preserve">Melioid</w:t>
            </w:r>
          </w:p>
        </w:tc>
        <w:tc>
          <w:p>
            <w:pPr>
              <w:pStyle w:val="Compact"/>
              <w:jc w:val="center"/>
            </w:pPr>
            <w:r>
              <w:t xml:space="preserve">43</w:t>
            </w:r>
          </w:p>
        </w:tc>
        <w:tc>
          <w:p>
            <w:pPr>
              <w:pStyle w:val="Compact"/>
              <w:jc w:val="center"/>
            </w:pPr>
            <w:r>
              <w:t xml:space="preserve">Test</w:t>
            </w:r>
          </w:p>
        </w:tc>
      </w:tr>
      <w:tr>
        <w:tc>
          <w:p>
            <w:pPr>
              <w:pStyle w:val="Compact"/>
              <w:jc w:val="center"/>
            </w:pPr>
            <w:r>
              <w:t xml:space="preserve">Tulane</w:t>
            </w:r>
          </w:p>
        </w:tc>
        <w:tc>
          <w:p>
            <w:pPr>
              <w:pStyle w:val="Compact"/>
              <w:jc w:val="center"/>
            </w:pPr>
            <w:r>
              <w:t xml:space="preserve">Negative</w:t>
            </w:r>
          </w:p>
        </w:tc>
        <w:tc>
          <w:p>
            <w:pPr>
              <w:pStyle w:val="Compact"/>
              <w:jc w:val="center"/>
            </w:pPr>
            <w:r>
              <w:t xml:space="preserve">23</w:t>
            </w:r>
          </w:p>
        </w:tc>
        <w:tc>
          <w:p>
            <w:pPr>
              <w:pStyle w:val="Compact"/>
              <w:jc w:val="center"/>
            </w:pPr>
            <w:r>
              <w:t xml:space="preserve">Test</w:t>
            </w:r>
          </w:p>
        </w:tc>
      </w:tr>
    </w:tbl>
    <w:p>
      <w:pPr>
        <w:pStyle w:val="BodyText"/>
      </w:pPr>
      <w:r>
        <w:t xml:space="preserve">We next look at the AUC values for the Testing set based on either the model trained on just the training set vs the model trained on the full Version 1 dataset. Because we would expect the model trained on the test data would perform well on the test set, we should only draw conclusions from the model built from the training set. The only reason the model built from the full dataset exists is to be able to use it on future data. I show these results here just to verify that the full model doesn’t do worse than the training model.</w:t>
      </w:r>
    </w:p>
    <w:p>
      <w:pPr>
        <w:pStyle w:val="BodyText"/>
      </w:pPr>
      <w:r>
        <w:drawing>
          <wp:inline>
            <wp:extent cx="5334000" cy="3111500"/>
            <wp:effectExtent b="0" l="0" r="0" t="0"/>
            <wp:docPr descr="" title="" id="1" name="Picture"/>
            <a:graphic>
              <a:graphicData uri="http://schemas.openxmlformats.org/drawingml/2006/picture">
                <pic:pic>
                  <pic:nvPicPr>
                    <pic:cNvPr descr="sensitivity_and_specificity_files/figure-docx/NHP_V3_ROC_Display-1.png" id="0" name="Picture"/>
                    <pic:cNvPicPr>
                      <a:picLocks noChangeArrowheads="1" noChangeAspect="1"/>
                    </pic:cNvPicPr>
                  </pic:nvPicPr>
                  <pic:blipFill>
                    <a:blip r:embed="rId35"/>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For the Non-human primates, we see that the models that were trained on only the training data still</w:t>
      </w:r>
      <w:r>
        <w:t xml:space="preserve"> </w:t>
      </w:r>
      <w:r>
        <w:t xml:space="preserve">did quite well in predicting the testing set with AUC values in the 90s. However the models trained</w:t>
      </w:r>
      <w:r>
        <w:t xml:space="preserve"> </w:t>
      </w:r>
      <w:r>
        <w:t xml:space="preserve">with both the test and training sets (aka</w:t>
      </w:r>
      <w:r>
        <w:t xml:space="preserve"> </w:t>
      </w:r>
      <w:r>
        <w:t xml:space="preserve">“</w:t>
      </w:r>
      <w:r>
        <w:t xml:space="preserve">Full</w:t>
      </w:r>
      <w:r>
        <w:t xml:space="preserve">”</w:t>
      </w:r>
      <w:r>
        <w:t xml:space="preserve"> </w:t>
      </w:r>
      <w:r>
        <w:t xml:space="preserve">data), did a better job predicting the testing set,</w:t>
      </w:r>
      <w:r>
        <w:t xml:space="preserve"> </w:t>
      </w:r>
      <w:r>
        <w:t xml:space="preserve">as we would expect. Notably, there isn’t a huge difference in prediction capabilities and, unlike</w:t>
      </w:r>
      <w:r>
        <w:t xml:space="preserve"> </w:t>
      </w:r>
      <w:r>
        <w:t xml:space="preserve">the human data, we see that the IgGM combination of serums is better at prediction than the IgG serum.</w:t>
      </w:r>
    </w:p>
    <w:p>
      <w:pPr>
        <w:pStyle w:val="Heading2"/>
      </w:pPr>
      <w:bookmarkStart w:id="36" w:name="what-happens-as-we-decrease-the-number-of-covariates."/>
      <w:r>
        <w:t xml:space="preserve">What happens as we decrease the number of covariates.</w:t>
      </w:r>
      <w:bookmarkEnd w:id="36"/>
    </w:p>
    <w:p>
      <w:pPr>
        <w:pStyle w:val="FirstParagraph"/>
      </w:pPr>
      <w:r>
        <w:drawing>
          <wp:inline>
            <wp:extent cx="5334000" cy="6934200"/>
            <wp:effectExtent b="0" l="0" r="0" t="0"/>
            <wp:docPr descr="" title="" id="1" name="Picture"/>
            <a:graphic>
              <a:graphicData uri="http://schemas.openxmlformats.org/drawingml/2006/picture">
                <pic:pic>
                  <pic:nvPicPr>
                    <pic:cNvPr descr="sensitivity_and_specificity_files/figure-docx/unnamed-chunk-9-1.png" id="0" name="Picture"/>
                    <pic:cNvPicPr>
                      <a:picLocks noChangeArrowheads="1" noChangeAspect="1"/>
                    </pic:cNvPicPr>
                  </pic:nvPicPr>
                  <pic:blipFill>
                    <a:blip r:embed="rId37"/>
                    <a:stretch>
                      <a:fillRect/>
                    </a:stretch>
                  </pic:blipFill>
                  <pic:spPr bwMode="auto">
                    <a:xfrm>
                      <a:off x="0" y="0"/>
                      <a:ext cx="5334000" cy="6934200"/>
                    </a:xfrm>
                    <a:prstGeom prst="rect">
                      <a:avLst/>
                    </a:prstGeom>
                    <a:noFill/>
                    <a:ln w="9525">
                      <a:noFill/>
                      <a:headEnd/>
                      <a:tailEnd/>
                    </a:ln>
                  </pic:spPr>
                </pic:pic>
              </a:graphicData>
            </a:graphic>
          </wp:inline>
        </w:drawing>
      </w:r>
      <w:r>
        <w:t xml:space="preserve"> </w:t>
      </w:r>
      <w:r>
        <w:t xml:space="preserve">Because of the reduced sample size compared to the Human models, the NHP models were fitted by minimizing the binomial deviance instead of AUC.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and Specificity</dc:title>
  <dc:creator>Derek Sonderegger</dc:creator>
  <cp:keywords/>
  <dcterms:created xsi:type="dcterms:W3CDTF">2019-06-28T23:09:17Z</dcterms:created>
  <dcterms:modified xsi:type="dcterms:W3CDTF">2019-06-28T23:09:17Z</dcterms:modified>
</cp:coreProperties>
</file>