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w:t>
      </w:r>
      <w:r>
        <w:t xml:space="preserve"> </w:t>
      </w:r>
      <w:r>
        <w:t xml:space="preserve">and</w:t>
      </w:r>
      <w:r>
        <w:t xml:space="preserve"> </w:t>
      </w:r>
      <w:r>
        <w:t xml:space="preserve">Specificity</w:t>
      </w:r>
    </w:p>
    <w:p>
      <w:pPr>
        <w:pStyle w:val="Author"/>
      </w:pPr>
      <w:r>
        <w:t xml:space="preserve">Derek</w:t>
      </w:r>
      <w:r>
        <w:t xml:space="preserve"> </w:t>
      </w:r>
      <w:r>
        <w:t xml:space="preserve">Sonderegger</w:t>
      </w:r>
    </w:p>
    <w:p>
      <w:pPr>
        <w:pStyle w:val="Date"/>
      </w:pPr>
      <w:r>
        <w:t xml:space="preserve">2019-02-20</w:t>
      </w:r>
    </w:p>
    <w:p>
      <w:pPr>
        <w:pStyle w:val="SourceCode"/>
      </w:pPr>
      <w:r>
        <w:rPr>
          <w:rStyle w:val="CommentTok"/>
        </w:rPr>
        <w:t xml:space="preserve"># library(devtools)                          </w:t>
      </w:r>
      <w:r>
        <w:br w:type="textWrapping"/>
      </w:r>
      <w:r>
        <w:rPr>
          <w:rStyle w:val="CommentTok"/>
        </w:rPr>
        <w:t xml:space="preserve"># install_github('dereksonderegger/BurkPx')  </w:t>
      </w:r>
      <w:r>
        <w:br w:type="textWrapping"/>
      </w:r>
      <w:r>
        <w:rPr>
          <w:rStyle w:val="KeywordTok"/>
        </w:rPr>
        <w:t xml:space="preserve">library</w:t>
      </w:r>
      <w:r>
        <w:rPr>
          <w:rStyle w:val="NormalTok"/>
        </w:rPr>
        <w:t xml:space="preserve">(BurkPx)</w:t>
      </w:r>
      <w:r>
        <w:br w:type="textWrapping"/>
      </w:r>
      <w:r>
        <w:rPr>
          <w:rStyle w:val="KeywordTok"/>
        </w:rPr>
        <w:t xml:space="preserve">library</w:t>
      </w:r>
      <w:r>
        <w:rPr>
          <w:rStyle w:val="NormalTok"/>
        </w:rPr>
        <w:t xml:space="preserve">(ggplot2)</w:t>
      </w:r>
    </w:p>
    <w:p>
      <w:pPr>
        <w:pStyle w:val="Heading1"/>
      </w:pPr>
      <w:bookmarkStart w:id="20" w:name="human-roc-analysis-on-human-models"/>
      <w:r>
        <w:t xml:space="preserve">Human ROC analysis on Human models</w:t>
      </w:r>
      <w:bookmarkEnd w:id="20"/>
    </w:p>
    <w:p>
      <w:pPr>
        <w:pStyle w:val="FirstParagraph"/>
      </w:pPr>
      <w:r>
        <w:t xml:space="preserve">We first split the patients into test/training sets and then fit all the various models (IgG, IgM, IgGM, etc)</w:t>
      </w:r>
      <w:r>
        <w:t xml:space="preserve"> </w:t>
      </w:r>
      <w:r>
        <w:t xml:space="preserve">using only patients from the training set. Because we have 100 Meliod patients, then 50 of those patients get</w:t>
      </w:r>
      <w:r>
        <w:t xml:space="preserve"> </w:t>
      </w:r>
      <w:r>
        <w:t xml:space="preserve">assigned to the test group and 50 to the training group. Likewise of the 400 controls, 200 get assigned to the</w:t>
      </w:r>
      <w:r>
        <w:t xml:space="preserve"> </w:t>
      </w:r>
      <w:r>
        <w:t xml:space="preserve">test set and 200 to the training.</w:t>
      </w:r>
    </w:p>
    <w:p>
      <w:pPr>
        <w:pStyle w:val="BodyText"/>
      </w:pPr>
      <w:r>
        <w:t xml:space="preserve">Once the patients have been assigned to either the test or training set, all of the patients serologies are</w:t>
      </w:r>
      <w:r>
        <w:t xml:space="preserve"> </w:t>
      </w:r>
      <w:r>
        <w:t xml:space="preserve">included in the set. This means that a single patient with many serologies might have an oversized effect. But</w:t>
      </w:r>
      <w:r>
        <w:t xml:space="preserve"> </w:t>
      </w:r>
      <w:r>
        <w:t xml:space="preserve">we did this to try to keep our sample sizes as high as possible.</w:t>
      </w:r>
    </w:p>
    <w:p>
      <w:pPr>
        <w:pStyle w:val="Heading2"/>
      </w:pPr>
      <w:bookmarkStart w:id="21" w:name="model-selection"/>
      <w:r>
        <w:t xml:space="preserve">Model Selection</w:t>
      </w:r>
      <w:bookmarkEnd w:id="21"/>
    </w:p>
    <w:p>
      <w:pPr>
        <w:pStyle w:val="FirstParagraph"/>
      </w:pPr>
      <w:r>
        <w:t xml:space="preserve">To assess how well the models work, we will look at the Area Under the Curve (AUC) for the</w:t>
      </w:r>
      <w:r>
        <w:t xml:space="preserve"> </w:t>
      </w:r>
      <w:r>
        <w:t xml:space="preserve">Reciever-Operator Curve (ROC). To generate this by week, We take the human data and split it</w:t>
      </w:r>
      <w:r>
        <w:t xml:space="preserve"> </w:t>
      </w:r>
      <w:r>
        <w:t xml:space="preserve">into Healthy, Week 1, Week 2, etc. For each of the Weeks, we calculate probability of infection</w:t>
      </w:r>
      <w:r>
        <w:t xml:space="preserve"> </w:t>
      </w:r>
      <w:r>
        <w:t xml:space="preserve">for the the Healthy and Infected groups using the six different human models.</w:t>
      </w:r>
    </w:p>
    <w:p>
      <w:pPr>
        <w:pStyle w:val="BodyText"/>
      </w:pPr>
      <w:r>
        <w:drawing>
          <wp:inline>
            <wp:extent cx="5334000" cy="2222500"/>
            <wp:effectExtent b="0" l="0" r="0" t="0"/>
            <wp:docPr descr="" title="" id="1" name="Picture"/>
            <a:graphic>
              <a:graphicData uri="http://schemas.openxmlformats.org/drawingml/2006/picture">
                <pic:pic>
                  <pic:nvPicPr>
                    <pic:cNvPr descr="sensitivity_and_specificity_files/figure-docx/Human_ROC_Display-1.png" id="0" name="Picture"/>
                    <pic:cNvPicPr>
                      <a:picLocks noChangeArrowheads="1" noChangeAspect="1"/>
                    </pic:cNvPicPr>
                  </pic:nvPicPr>
                  <pic:blipFill>
                    <a:blip r:embed="rId22"/>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From this analysis, it is clear that for the first week, we need both the IgG and IgM sereologies. It also seems</w:t>
      </w:r>
      <w:r>
        <w:t xml:space="preserve"> </w:t>
      </w:r>
      <w:r>
        <w:t xml:space="preserve">that the LASSO is working better than Ridge Regression and that IgG is working better than IgM. However the</w:t>
      </w:r>
      <w:r>
        <w:t xml:space="preserve"> </w:t>
      </w:r>
      <w:r>
        <w:t xml:space="preserve">best performance is by the IgGM data which uses both IgG and IgM observation values. The</w:t>
      </w:r>
      <w:r>
        <w:t xml:space="preserve"> </w:t>
      </w:r>
      <w:r>
        <w:t xml:space="preserve">“</w:t>
      </w:r>
      <w:r>
        <w:t xml:space="preserve">Full</w:t>
      </w:r>
      <w:r>
        <w:t xml:space="preserve">”</w:t>
      </w:r>
      <w:r>
        <w:t xml:space="preserve"> </w:t>
      </w:r>
      <w:r>
        <w:t xml:space="preserve">graphs are where I used the model fit on both the test and training data to predict the test set.</w:t>
      </w:r>
    </w:p>
    <w:p>
      <w:pPr>
        <w:pStyle w:val="Heading2"/>
      </w:pPr>
      <w:bookmarkStart w:id="23" w:name="how-many-covariates-are-used"/>
      <w:r>
        <w:t xml:space="preserve">How many covariates are used?</w:t>
      </w:r>
      <w:bookmarkEnd w:id="23"/>
    </w:p>
    <w:p>
      <w:pPr>
        <w:pStyle w:val="SourceCode"/>
      </w:pPr>
      <w:r>
        <w:rPr>
          <w:rStyle w:val="VerbatimChar"/>
        </w:rPr>
        <w:t xml:space="preserve">##           Antigen         Coef</w:t>
      </w:r>
      <w:r>
        <w:br w:type="textWrapping"/>
      </w:r>
      <w:r>
        <w:rPr>
          <w:rStyle w:val="VerbatimChar"/>
        </w:rPr>
        <w:t xml:space="preserve">## 1 BPSS1498_HCP1.B 2.762212e-05</w:t>
      </w:r>
      <w:r>
        <w:br w:type="textWrapping"/>
      </w:r>
      <w:r>
        <w:rPr>
          <w:rStyle w:val="VerbatimChar"/>
        </w:rPr>
        <w:t xml:space="preserve">## 2            LPSA 2.741923e-04</w:t>
      </w:r>
      <w:r>
        <w:br w:type="textWrapping"/>
      </w:r>
      <w:r>
        <w:rPr>
          <w:rStyle w:val="VerbatimChar"/>
        </w:rPr>
        <w:t xml:space="preserve">## 3            LPSB 1.046623e-04</w:t>
      </w:r>
      <w:r>
        <w:br w:type="textWrapping"/>
      </w:r>
      <w:r>
        <w:rPr>
          <w:rStyle w:val="VerbatimChar"/>
        </w:rPr>
        <w:t xml:space="preserve">##                Antigen          Coef</w:t>
      </w:r>
      <w:r>
        <w:br w:type="textWrapping"/>
      </w:r>
      <w:r>
        <w:rPr>
          <w:rStyle w:val="VerbatimChar"/>
        </w:rPr>
        <w:t xml:space="preserve">## 1    IgG_BPSL1201_IMPS  1.140828e-04</w:t>
      </w:r>
      <w:r>
        <w:br w:type="textWrapping"/>
      </w:r>
      <w:r>
        <w:rPr>
          <w:rStyle w:val="VerbatimChar"/>
        </w:rPr>
        <w:t xml:space="preserve">## 2    IgG_BPSL1404_ClpX  3.717731e-04</w:t>
      </w:r>
      <w:r>
        <w:br w:type="textWrapping"/>
      </w:r>
      <w:r>
        <w:rPr>
          <w:rStyle w:val="VerbatimChar"/>
        </w:rPr>
        <w:t xml:space="preserve">## 3    IgG_BPSL2827_DNAK -1.484080e-04</w:t>
      </w:r>
      <w:r>
        <w:br w:type="textWrapping"/>
      </w:r>
      <w:r>
        <w:rPr>
          <w:rStyle w:val="VerbatimChar"/>
        </w:rPr>
        <w:t xml:space="preserve">## 4         IgG_BPSS0135  1.482746e-04</w:t>
      </w:r>
      <w:r>
        <w:br w:type="textWrapping"/>
      </w:r>
      <w:r>
        <w:rPr>
          <w:rStyle w:val="VerbatimChar"/>
        </w:rPr>
        <w:t xml:space="preserve">## 5    IgG_BPSS0476_GroS  2.811126e-05</w:t>
      </w:r>
      <w:r>
        <w:br w:type="textWrapping"/>
      </w:r>
      <w:r>
        <w:rPr>
          <w:rStyle w:val="VerbatimChar"/>
        </w:rPr>
        <w:t xml:space="preserve">## 6         IgG_BPSS0530  1.310555e-04</w:t>
      </w:r>
      <w:r>
        <w:br w:type="textWrapping"/>
      </w:r>
      <w:r>
        <w:rPr>
          <w:rStyle w:val="VerbatimChar"/>
        </w:rPr>
        <w:t xml:space="preserve">## 7  IgG_BPSS1498_HCP1.B  4.732412e-04</w:t>
      </w:r>
      <w:r>
        <w:br w:type="textWrapping"/>
      </w:r>
      <w:r>
        <w:rPr>
          <w:rStyle w:val="VerbatimChar"/>
        </w:rPr>
        <w:t xml:space="preserve">## 8         IgG_BPSS1652  5.337745e-05</w:t>
      </w:r>
      <w:r>
        <w:br w:type="textWrapping"/>
      </w:r>
      <w:r>
        <w:rPr>
          <w:rStyle w:val="VerbatimChar"/>
        </w:rPr>
        <w:t xml:space="preserve">## 9              IgG_CPS  1.980401e-05</w:t>
      </w:r>
      <w:r>
        <w:br w:type="textWrapping"/>
      </w:r>
      <w:r>
        <w:rPr>
          <w:rStyle w:val="VerbatimChar"/>
        </w:rPr>
        <w:t xml:space="preserve">## 10            IgG_LPSA  3.982208e-04</w:t>
      </w:r>
      <w:r>
        <w:br w:type="textWrapping"/>
      </w:r>
      <w:r>
        <w:rPr>
          <w:rStyle w:val="VerbatimChar"/>
        </w:rPr>
        <w:t xml:space="preserve">## 11            IgG_LPSB  1.628721e-04</w:t>
      </w:r>
      <w:r>
        <w:br w:type="textWrapping"/>
      </w:r>
      <w:r>
        <w:rPr>
          <w:rStyle w:val="VerbatimChar"/>
        </w:rPr>
        <w:t xml:space="preserve">## 12    IgM_BPSL1743_Arg  1.067014e-04</w:t>
      </w:r>
      <w:r>
        <w:br w:type="textWrapping"/>
      </w:r>
      <w:r>
        <w:rPr>
          <w:rStyle w:val="VerbatimChar"/>
        </w:rPr>
        <w:t xml:space="preserve">## 13   IgM_BPSL2522_OmpA -2.603365e-03</w:t>
      </w:r>
      <w:r>
        <w:br w:type="textWrapping"/>
      </w:r>
      <w:r>
        <w:rPr>
          <w:rStyle w:val="VerbatimChar"/>
        </w:rPr>
        <w:t xml:space="preserve">## 14   IgM_BPSL2827_DNAK  7.608634e-04</w:t>
      </w:r>
      <w:r>
        <w:br w:type="textWrapping"/>
      </w:r>
      <w:r>
        <w:rPr>
          <w:rStyle w:val="VerbatimChar"/>
        </w:rPr>
        <w:t xml:space="preserve">## 15   IgM_BPSL3222_rpIL -6.812789e-04</w:t>
      </w:r>
      <w:r>
        <w:br w:type="textWrapping"/>
      </w:r>
      <w:r>
        <w:rPr>
          <w:rStyle w:val="VerbatimChar"/>
        </w:rPr>
        <w:t xml:space="preserve">## 16   IgM_BPSL3396_AtpD -6.829135e-04</w:t>
      </w:r>
      <w:r>
        <w:br w:type="textWrapping"/>
      </w:r>
      <w:r>
        <w:rPr>
          <w:rStyle w:val="VerbatimChar"/>
        </w:rPr>
        <w:t xml:space="preserve">## 17        IgM_BPSS0135 -1.329298e-04</w:t>
      </w:r>
      <w:r>
        <w:br w:type="textWrapping"/>
      </w:r>
      <w:r>
        <w:rPr>
          <w:rStyle w:val="VerbatimChar"/>
        </w:rPr>
        <w:t xml:space="preserve">## 18   IgM_BPSS0476_GroS -1.112135e-04</w:t>
      </w:r>
      <w:r>
        <w:br w:type="textWrapping"/>
      </w:r>
      <w:r>
        <w:rPr>
          <w:rStyle w:val="VerbatimChar"/>
        </w:rPr>
        <w:t xml:space="preserve">## 19        IgM_BPSS0530  2.396669e-03</w:t>
      </w:r>
      <w:r>
        <w:br w:type="textWrapping"/>
      </w:r>
      <w:r>
        <w:rPr>
          <w:rStyle w:val="VerbatimChar"/>
        </w:rPr>
        <w:t xml:space="preserve">## 20        IgM_BPSS1652  1.202640e-03</w:t>
      </w:r>
      <w:r>
        <w:br w:type="textWrapping"/>
      </w:r>
      <w:r>
        <w:rPr>
          <w:rStyle w:val="VerbatimChar"/>
        </w:rPr>
        <w:t xml:space="preserve">## 21   IgM_BPSS1769_NADH  8.247896e-04</w:t>
      </w:r>
      <w:r>
        <w:br w:type="textWrapping"/>
      </w:r>
      <w:r>
        <w:rPr>
          <w:rStyle w:val="VerbatimChar"/>
        </w:rPr>
        <w:t xml:space="preserve">## 22        IgM_BPSS1850 -3.822299e-04</w:t>
      </w:r>
      <w:r>
        <w:br w:type="textWrapping"/>
      </w:r>
      <w:r>
        <w:rPr>
          <w:rStyle w:val="VerbatimChar"/>
        </w:rPr>
        <w:t xml:space="preserve">## 23             IgM_CPS  5.421209e-05</w:t>
      </w:r>
      <w:r>
        <w:br w:type="textWrapping"/>
      </w:r>
      <w:r>
        <w:rPr>
          <w:rStyle w:val="VerbatimChar"/>
        </w:rPr>
        <w:t xml:space="preserve">## 24            IgM_LPSA  1.156942e-05</w:t>
      </w:r>
      <w:r>
        <w:br w:type="textWrapping"/>
      </w:r>
      <w:r>
        <w:rPr>
          <w:rStyle w:val="VerbatimChar"/>
        </w:rPr>
        <w:t xml:space="preserve">## 25            IgM_LPSB -7.014006e-04</w:t>
      </w:r>
      <w:r>
        <w:br w:type="textWrapping"/>
      </w:r>
      <w:r>
        <w:rPr>
          <w:rStyle w:val="VerbatimChar"/>
        </w:rPr>
        <w:t xml:space="preserve">## 26    IgM_MSHR5855.WCL -6.903194e-04</w:t>
      </w:r>
      <w:r>
        <w:br w:type="textWrapping"/>
      </w:r>
      <w:r>
        <w:rPr>
          <w:rStyle w:val="VerbatimChar"/>
        </w:rPr>
        <w:t xml:space="preserve">## # A tibble: 18 x 2</w:t>
      </w:r>
      <w:r>
        <w:br w:type="textWrapping"/>
      </w:r>
      <w:r>
        <w:rPr>
          <w:rStyle w:val="VerbatimChar"/>
        </w:rPr>
        <w:t xml:space="preserve">## # Groups:   Antigen [18]</w:t>
      </w:r>
      <w:r>
        <w:br w:type="textWrapping"/>
      </w:r>
      <w:r>
        <w:rPr>
          <w:rStyle w:val="VerbatimChar"/>
        </w:rPr>
        <w:t xml:space="preserve">##    Antigen             n</w:t>
      </w:r>
      <w:r>
        <w:br w:type="textWrapping"/>
      </w:r>
      <w:r>
        <w:rPr>
          <w:rStyle w:val="VerbatimChar"/>
        </w:rPr>
        <w:t xml:space="preserve">##    &lt;chr&gt;           &lt;int&gt;</w:t>
      </w:r>
      <w:r>
        <w:br w:type="textWrapping"/>
      </w:r>
      <w:r>
        <w:rPr>
          <w:rStyle w:val="VerbatimChar"/>
        </w:rPr>
        <w:t xml:space="preserve">##  1 BPSL1201_IMPS       1</w:t>
      </w:r>
      <w:r>
        <w:br w:type="textWrapping"/>
      </w:r>
      <w:r>
        <w:rPr>
          <w:rStyle w:val="VerbatimChar"/>
        </w:rPr>
        <w:t xml:space="preserve">##  2 BPSL1404_ClpX       1</w:t>
      </w:r>
      <w:r>
        <w:br w:type="textWrapping"/>
      </w:r>
      <w:r>
        <w:rPr>
          <w:rStyle w:val="VerbatimChar"/>
        </w:rPr>
        <w:t xml:space="preserve">##  3 BPSL1743_Arg        1</w:t>
      </w:r>
      <w:r>
        <w:br w:type="textWrapping"/>
      </w:r>
      <w:r>
        <w:rPr>
          <w:rStyle w:val="VerbatimChar"/>
        </w:rPr>
        <w:t xml:space="preserve">##  4 BPSL2522_OmpA       1</w:t>
      </w:r>
      <w:r>
        <w:br w:type="textWrapping"/>
      </w:r>
      <w:r>
        <w:rPr>
          <w:rStyle w:val="VerbatimChar"/>
        </w:rPr>
        <w:t xml:space="preserve">##  5 BPSL2827_DNAK       2</w:t>
      </w:r>
      <w:r>
        <w:br w:type="textWrapping"/>
      </w:r>
      <w:r>
        <w:rPr>
          <w:rStyle w:val="VerbatimChar"/>
        </w:rPr>
        <w:t xml:space="preserve">##  6 BPSL3222_rpIL       1</w:t>
      </w:r>
      <w:r>
        <w:br w:type="textWrapping"/>
      </w:r>
      <w:r>
        <w:rPr>
          <w:rStyle w:val="VerbatimChar"/>
        </w:rPr>
        <w:t xml:space="preserve">##  7 BPSL3396_AtpD       1</w:t>
      </w:r>
      <w:r>
        <w:br w:type="textWrapping"/>
      </w:r>
      <w:r>
        <w:rPr>
          <w:rStyle w:val="VerbatimChar"/>
        </w:rPr>
        <w:t xml:space="preserve">##  8 BPSS0135            2</w:t>
      </w:r>
      <w:r>
        <w:br w:type="textWrapping"/>
      </w:r>
      <w:r>
        <w:rPr>
          <w:rStyle w:val="VerbatimChar"/>
        </w:rPr>
        <w:t xml:space="preserve">##  9 BPSS0476_GroS       2</w:t>
      </w:r>
      <w:r>
        <w:br w:type="textWrapping"/>
      </w:r>
      <w:r>
        <w:rPr>
          <w:rStyle w:val="VerbatimChar"/>
        </w:rPr>
        <w:t xml:space="preserve">## 10 BPSS0530            2</w:t>
      </w:r>
      <w:r>
        <w:br w:type="textWrapping"/>
      </w:r>
      <w:r>
        <w:rPr>
          <w:rStyle w:val="VerbatimChar"/>
        </w:rPr>
        <w:t xml:space="preserve">## 11 BPSS1498_HCP1.B     1</w:t>
      </w:r>
      <w:r>
        <w:br w:type="textWrapping"/>
      </w:r>
      <w:r>
        <w:rPr>
          <w:rStyle w:val="VerbatimChar"/>
        </w:rPr>
        <w:t xml:space="preserve">## 12 BPSS1652            2</w:t>
      </w:r>
      <w:r>
        <w:br w:type="textWrapping"/>
      </w:r>
      <w:r>
        <w:rPr>
          <w:rStyle w:val="VerbatimChar"/>
        </w:rPr>
        <w:t xml:space="preserve">## 13 BPSS1769_NADH       1</w:t>
      </w:r>
      <w:r>
        <w:br w:type="textWrapping"/>
      </w:r>
      <w:r>
        <w:rPr>
          <w:rStyle w:val="VerbatimChar"/>
        </w:rPr>
        <w:t xml:space="preserve">## 14 BPSS1850            1</w:t>
      </w:r>
      <w:r>
        <w:br w:type="textWrapping"/>
      </w:r>
      <w:r>
        <w:rPr>
          <w:rStyle w:val="VerbatimChar"/>
        </w:rPr>
        <w:t xml:space="preserve">## 15 CPS                 2</w:t>
      </w:r>
      <w:r>
        <w:br w:type="textWrapping"/>
      </w:r>
      <w:r>
        <w:rPr>
          <w:rStyle w:val="VerbatimChar"/>
        </w:rPr>
        <w:t xml:space="preserve">## 16 LPSA                2</w:t>
      </w:r>
      <w:r>
        <w:br w:type="textWrapping"/>
      </w:r>
      <w:r>
        <w:rPr>
          <w:rStyle w:val="VerbatimChar"/>
        </w:rPr>
        <w:t xml:space="preserve">## 17 LPSB                2</w:t>
      </w:r>
      <w:r>
        <w:br w:type="textWrapping"/>
      </w:r>
      <w:r>
        <w:rPr>
          <w:rStyle w:val="VerbatimChar"/>
        </w:rPr>
        <w:t xml:space="preserve">## 18 MSHR5855.WCL        1</w:t>
      </w:r>
    </w:p>
    <w:p>
      <w:pPr>
        <w:pStyle w:val="Heading2"/>
      </w:pPr>
      <w:bookmarkStart w:id="24" w:name="what-happens-to-the-iggm-model-as-we-decrease-the-number-of-covariates."/>
      <w:r>
        <w:t xml:space="preserve">What happens to the IgGM model as we decrease the number of covariates.</w:t>
      </w:r>
      <w:bookmarkEnd w:id="24"/>
    </w:p>
    <w:p>
      <w:pPr>
        <w:pStyle w:val="FirstParagraph"/>
      </w:pPr>
      <w:r>
        <w:drawing>
          <wp:inline>
            <wp:extent cx="5334000" cy="4267200"/>
            <wp:effectExtent b="0" l="0" r="0" t="0"/>
            <wp:docPr descr="" title="" id="1" name="Picture"/>
            <a:graphic>
              <a:graphicData uri="http://schemas.openxmlformats.org/drawingml/2006/picture">
                <pic:pic>
                  <pic:nvPicPr>
                    <pic:cNvPr descr="sensitivity_and_specificity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what-happens-to-the-igg-model-as-we-decrease-the-number-of-covariates."/>
      <w:r>
        <w:t xml:space="preserve">What happens to the IgG model as we decrease the number of covariates.</w:t>
      </w:r>
      <w:bookmarkEnd w:id="26"/>
    </w:p>
    <w:p>
      <w:pPr>
        <w:pStyle w:val="FirstParagraph"/>
      </w:pPr>
      <w:r>
        <w:drawing>
          <wp:inline>
            <wp:extent cx="5334000" cy="4267200"/>
            <wp:effectExtent b="0" l="0" r="0" t="0"/>
            <wp:docPr descr="" title="" id="1" name="Picture"/>
            <a:graphic>
              <a:graphicData uri="http://schemas.openxmlformats.org/drawingml/2006/picture">
                <pic:pic>
                  <pic:nvPicPr>
                    <pic:cNvPr descr="sensitivity_and_specificity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what-happens-to-the-igm-model-as-we-decrease-the-number-of-covariates."/>
      <w:r>
        <w:t xml:space="preserve">What happens to the IgM model as we decrease the number of covariates.</w:t>
      </w:r>
      <w:bookmarkEnd w:id="28"/>
    </w:p>
    <w:p>
      <w:pPr>
        <w:pStyle w:val="FirstParagraph"/>
      </w:pPr>
      <w:r>
        <w:drawing>
          <wp:inline>
            <wp:extent cx="5334000" cy="4267200"/>
            <wp:effectExtent b="0" l="0" r="0" t="0"/>
            <wp:docPr descr="" title="" id="1" name="Picture"/>
            <a:graphic>
              <a:graphicData uri="http://schemas.openxmlformats.org/drawingml/2006/picture">
                <pic:pic>
                  <pic:nvPicPr>
                    <pic:cNvPr descr="sensitivity_and_specificity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am a little concerned with how large the IgGM model is, but considering our</w:t>
      </w:r>
      <w:r>
        <w:t xml:space="preserve"> </w:t>
      </w:r>
      <w:r>
        <w:t xml:space="preserve">sample sizes..</w:t>
      </w:r>
    </w:p>
    <w:p>
      <w:pPr>
        <w:pStyle w:val="SourceCode"/>
      </w:pPr>
      <w:r>
        <w:rPr>
          <w:rStyle w:val="VerbatimChar"/>
        </w:rPr>
        <w:t xml:space="preserve">## # A tibble: 2 x 3</w:t>
      </w:r>
      <w:r>
        <w:br w:type="textWrapping"/>
      </w:r>
      <w:r>
        <w:rPr>
          <w:rStyle w:val="VerbatimChar"/>
        </w:rPr>
        <w:t xml:space="preserve">##   Status       n  perc</w:t>
      </w:r>
      <w:r>
        <w:br w:type="textWrapping"/>
      </w:r>
      <w:r>
        <w:rPr>
          <w:rStyle w:val="VerbatimChar"/>
        </w:rPr>
        <w:t xml:space="preserve">##   &lt;fct&gt;    &lt;int&gt; &lt;dbl&gt;</w:t>
      </w:r>
      <w:r>
        <w:br w:type="textWrapping"/>
      </w:r>
      <w:r>
        <w:rPr>
          <w:rStyle w:val="VerbatimChar"/>
        </w:rPr>
        <w:t xml:space="preserve">## 1 Negative   399 0.808</w:t>
      </w:r>
      <w:r>
        <w:br w:type="textWrapping"/>
      </w:r>
      <w:r>
        <w:rPr>
          <w:rStyle w:val="VerbatimChar"/>
        </w:rPr>
        <w:t xml:space="preserve">## 2 Melioid     95 0.192</w:t>
      </w:r>
    </w:p>
    <w:p>
      <w:pPr>
        <w:pStyle w:val="FirstParagraph"/>
      </w:pPr>
      <w:r>
        <w:t xml:space="preserve">maybe this isn’t a big deal. The data consists of nearly 500 subjects split</w:t>
      </w:r>
      <w:r>
        <w:t xml:space="preserve"> </w:t>
      </w:r>
      <w:r>
        <w:t xml:space="preserve">80% / 20% between Healthy and Melioid.</w:t>
      </w:r>
    </w:p>
    <w:p>
      <w:pPr>
        <w:pStyle w:val="Heading1"/>
      </w:pPr>
      <w:bookmarkStart w:id="30" w:name="nonhuman-primate"/>
      <w:r>
        <w:t xml:space="preserve">Nonhuman Primate</w:t>
      </w:r>
      <w:bookmarkEnd w:id="30"/>
    </w:p>
    <w:p>
      <w:pPr>
        <w:pStyle w:val="FirstParagraph"/>
      </w:pPr>
      <w:r>
        <w:t xml:space="preserve">The nonhuman primate data was collected from both the batelle and Tulane information. When I created the testing and training sets, we split the Batelle individual subjects equally into the test and training sets and likewise split the Tulane negative individuals equally into the test and training sets.</w:t>
      </w:r>
    </w:p>
    <w:p>
      <w:pPr>
        <w:pStyle w:val="SourceCode"/>
      </w:pPr>
      <w:r>
        <w:rPr>
          <w:rStyle w:val="VerbatimChar"/>
        </w:rPr>
        <w:t xml:space="preserve">## # A tibble: 6 x 4</w:t>
      </w:r>
      <w:r>
        <w:br w:type="textWrapping"/>
      </w:r>
      <w:r>
        <w:rPr>
          <w:rStyle w:val="VerbatimChar"/>
        </w:rPr>
        <w:t xml:space="preserve">## # Groups:   Origin, Status [3]</w:t>
      </w:r>
      <w:r>
        <w:br w:type="textWrapping"/>
      </w:r>
      <w:r>
        <w:rPr>
          <w:rStyle w:val="VerbatimChar"/>
        </w:rPr>
        <w:t xml:space="preserve">##   Origin  Status       n Type    </w:t>
      </w:r>
      <w:r>
        <w:br w:type="textWrapping"/>
      </w:r>
      <w:r>
        <w:rPr>
          <w:rStyle w:val="VerbatimChar"/>
        </w:rPr>
        <w:t xml:space="preserve">##   &lt;chr&gt;   &lt;fct&gt;    &lt;int&gt; &lt;chr&gt;   </w:t>
      </w:r>
      <w:r>
        <w:br w:type="textWrapping"/>
      </w:r>
      <w:r>
        <w:rPr>
          <w:rStyle w:val="VerbatimChar"/>
        </w:rPr>
        <w:t xml:space="preserve">## 1 Battele Negative     6 Training</w:t>
      </w:r>
      <w:r>
        <w:br w:type="textWrapping"/>
      </w:r>
      <w:r>
        <w:rPr>
          <w:rStyle w:val="VerbatimChar"/>
        </w:rPr>
        <w:t xml:space="preserve">## 2 Battele Melioid     12 Training</w:t>
      </w:r>
      <w:r>
        <w:br w:type="textWrapping"/>
      </w:r>
      <w:r>
        <w:rPr>
          <w:rStyle w:val="VerbatimChar"/>
        </w:rPr>
        <w:t xml:space="preserve">## 3 Tulane  Negative    24 Training</w:t>
      </w:r>
      <w:r>
        <w:br w:type="textWrapping"/>
      </w:r>
      <w:r>
        <w:rPr>
          <w:rStyle w:val="VerbatimChar"/>
        </w:rPr>
        <w:t xml:space="preserve">## 4 Battele Negative     6 Test    </w:t>
      </w:r>
      <w:r>
        <w:br w:type="textWrapping"/>
      </w:r>
      <w:r>
        <w:rPr>
          <w:rStyle w:val="VerbatimChar"/>
        </w:rPr>
        <w:t xml:space="preserve">## 5 Battele Melioid     12 Test    </w:t>
      </w:r>
      <w:r>
        <w:br w:type="textWrapping"/>
      </w:r>
      <w:r>
        <w:rPr>
          <w:rStyle w:val="VerbatimChar"/>
        </w:rPr>
        <w:t xml:space="preserve">## 6 Tulane  Negative    23 Test</w:t>
      </w:r>
    </w:p>
    <w:p>
      <w:pPr>
        <w:pStyle w:val="FirstParagraph"/>
      </w:pPr>
      <w:r>
        <w:drawing>
          <wp:inline>
            <wp:extent cx="5334000" cy="2222500"/>
            <wp:effectExtent b="0" l="0" r="0" t="0"/>
            <wp:docPr descr="" title="" id="1" name="Picture"/>
            <a:graphic>
              <a:graphicData uri="http://schemas.openxmlformats.org/drawingml/2006/picture">
                <pic:pic>
                  <pic:nvPicPr>
                    <pic:cNvPr descr="sensitivity_and_specificity_files/figure-docx/NHP_ROC_Display-1.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For the Non-human primates, we see that the models that were trained on only the training data still</w:t>
      </w:r>
      <w:r>
        <w:t xml:space="preserve"> </w:t>
      </w:r>
      <w:r>
        <w:t xml:space="preserve">did quite well in predicting the testing set with AUC values in the 90s. However the models trained</w:t>
      </w:r>
      <w:r>
        <w:t xml:space="preserve"> </w:t>
      </w:r>
      <w:r>
        <w:t xml:space="preserve">with both the test and training sets (aka</w:t>
      </w:r>
      <w:r>
        <w:t xml:space="preserve"> </w:t>
      </w:r>
      <w:r>
        <w:t xml:space="preserve">“</w:t>
      </w:r>
      <w:r>
        <w:t xml:space="preserve">Full</w:t>
      </w:r>
      <w:r>
        <w:t xml:space="preserve">”</w:t>
      </w:r>
      <w:r>
        <w:t xml:space="preserve"> </w:t>
      </w:r>
      <w:r>
        <w:t xml:space="preserve">data), did a better job predicting the testing set,</w:t>
      </w:r>
      <w:r>
        <w:t xml:space="preserve"> </w:t>
      </w:r>
      <w:r>
        <w:t xml:space="preserve">as we would expect. Notably, there isn’t a huge difference in prediction capabilities and, unlike</w:t>
      </w:r>
      <w:r>
        <w:t xml:space="preserve"> </w:t>
      </w:r>
      <w:r>
        <w:t xml:space="preserve">the human data, we see that the IgM serum is better at prediction than the IgG.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and Specificity</dc:title>
  <dc:creator>Derek Sonderegger</dc:creator>
  <cp:keywords/>
  <dcterms:created xsi:type="dcterms:W3CDTF">2019-02-20T19:34:24Z</dcterms:created>
  <dcterms:modified xsi:type="dcterms:W3CDTF">2019-02-20T19:34:24Z</dcterms:modified>
</cp:coreProperties>
</file>