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verificación-para-producción-lead-center"/>
    <w:p>
      <w:pPr>
        <w:pStyle w:val="Heading1"/>
      </w:pPr>
      <w:r>
        <w:t xml:space="preserve">Verificación para producción — Lead Center</w:t>
      </w:r>
    </w:p>
    <w:p>
      <w:pPr>
        <w:pStyle w:val="FirstParagraph"/>
      </w:pPr>
      <w:r>
        <w:t xml:space="preserve">Este documento lista lo necesario para poner el Lead Center en producción y el</w:t>
      </w:r>
      <w:r>
        <w:t xml:space="preserve"> </w:t>
      </w:r>
      <w:r>
        <w:t xml:space="preserve">estado real de verificación en este entorno.</w:t>
      </w:r>
    </w:p>
    <w:bookmarkStart w:id="20" w:name="estado-de-verificación-en-este-entorno"/>
    <w:p>
      <w:pPr>
        <w:pStyle w:val="Heading2"/>
      </w:pPr>
      <w:r>
        <w:t xml:space="preserve">Estado de verificación en este entorno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Compila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termina con</w:t>
      </w:r>
      <w:r>
        <w:t xml:space="preserve"> </w:t>
      </w:r>
      <w:r>
        <w:t xml:space="preserve">“</w:t>
      </w:r>
      <w:r>
        <w:t xml:space="preserve">Compiled successfully</w:t>
      </w:r>
      <w:r>
        <w:t xml:space="preserve">”</w:t>
      </w:r>
      <w:r>
        <w:t xml:space="preserve"> </w:t>
      </w:r>
      <w:r>
        <w:t xml:space="preserve">y todas las</w:t>
      </w:r>
      <w:r>
        <w:t xml:space="preserve"> </w:t>
      </w:r>
      <w:r>
        <w:t xml:space="preserve">rutas del Lead Center aparejan como dinámicas.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No toca módulos protegidos</w:t>
      </w:r>
      <w:r>
        <w:t xml:space="preserve">: landing (</w:t>
      </w:r>
      <w:r>
        <w:rPr>
          <w:rStyle w:val="VerbatimChar"/>
        </w:rPr>
        <w:t xml:space="preserve">app/page.tsx</w:t>
      </w:r>
      <w:r>
        <w:t xml:space="preserve">), explorador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app/explorar/</w:t>
      </w:r>
      <w:r>
        <w:t xml:space="preserve">), NaIA (</w:t>
      </w:r>
      <w:r>
        <w:rPr>
          <w:rStyle w:val="VerbatimChar"/>
        </w:rPr>
        <w:t xml:space="preserve">app/api/naia/route.ts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src/lib/naia-real.ts</w:t>
      </w:r>
      <w:r>
        <w:t xml:space="preserve">) y</w:t>
      </w:r>
      <w:r>
        <w:t xml:space="preserve"> </w:t>
      </w:r>
      <w:r>
        <w:t xml:space="preserve">admin (</w:t>
      </w:r>
      <w:r>
        <w:rPr>
          <w:rStyle w:val="VerbatimChar"/>
        </w:rPr>
        <w:t xml:space="preserve">app/admin/</w:t>
      </w:r>
      <w:r>
        <w:t xml:space="preserve">) no fueron modificados. El único cambio en el explorador</w:t>
      </w:r>
      <w:r>
        <w:t xml:space="preserve"> </w:t>
      </w:r>
      <w:r>
        <w:t xml:space="preserve">es cablear el botón</w:t>
      </w:r>
      <w:r>
        <w:t xml:space="preserve"> </w:t>
      </w:r>
      <w:r>
        <w:t xml:space="preserve">“</w:t>
      </w:r>
      <w:r>
        <w:t xml:space="preserve">Aplicar</w:t>
      </w:r>
      <w:r>
        <w:t xml:space="preserve">”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components/explorar/OfferDetailModal.tsx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No ejecutado contra BD</w:t>
      </w:r>
      <w:r>
        <w:t xml:space="preserve">: el entorno no tiene credenciales de Supabase,</w:t>
      </w:r>
      <w:r>
        <w:t xml:space="preserve"> </w:t>
      </w:r>
      <w:r>
        <w:t xml:space="preserve">por lo que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aplicaron migraciones, ni se probaron RPC/RLS ni flujos</w:t>
      </w:r>
      <w:r>
        <w:t xml:space="preserve"> </w:t>
      </w:r>
      <w:r>
        <w:t xml:space="preserve">E2E. Todo eso queda</w:t>
      </w:r>
      <w:r>
        <w:t xml:space="preserve"> </w:t>
      </w:r>
      <w:r>
        <w:t xml:space="preserve">“</w:t>
      </w:r>
      <w:r>
        <w:t xml:space="preserve">preparado, no ejecutado</w:t>
      </w:r>
      <w:r>
        <w:t xml:space="preserve">”</w:t>
      </w:r>
      <w:r>
        <w:t xml:space="preserve">.</w:t>
      </w:r>
    </w:p>
    <w:bookmarkEnd w:id="20"/>
    <w:bookmarkStart w:id="21" w:name="variables-de-entorno-requeridas"/>
    <w:p>
      <w:pPr>
        <w:pStyle w:val="Heading2"/>
      </w:pPr>
      <w:r>
        <w:t xml:space="preserve">Variables de entorno requeridas</w:t>
      </w:r>
    </w:p>
    <w:p>
      <w:pPr>
        <w:pStyle w:val="FirstParagraph"/>
      </w:pPr>
      <w:r>
        <w:t xml:space="preserve">Definir en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(desarrollo) y en el panel del hosting (producción):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del proyecto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(cliente)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anónima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(cliente)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Operaciones de servidor (conversión, cron)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OTP_PROVIDER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simulated</w:t>
            </w:r>
            <w:r>
              <w:t xml:space="preserve"> </w:t>
            </w:r>
            <w:r>
              <w:t xml:space="preserve">(def.),</w:t>
            </w:r>
            <w:r>
              <w:t xml:space="preserve"> </w:t>
            </w:r>
            <w:r>
              <w:rPr>
                <w:rStyle w:val="VerbatimChar"/>
              </w:rPr>
              <w:t xml:space="preserve">twilio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Protege</w:t>
            </w:r>
            <w:r>
              <w:t xml:space="preserve"> </w:t>
            </w:r>
            <w:r>
              <w:rPr>
                <w:rStyle w:val="VerbatimChar"/>
              </w:rPr>
              <w:t xml:space="preserve">/api/cron/automatizaciones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</w:tbl>
    <w:p>
      <w:pPr>
        <w:pStyle w:val="BlockText"/>
      </w:pPr>
      <w:r>
        <w:t xml:space="preserve">Ninguna de estas claves está en el código.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 </w:t>
      </w:r>
      <w:r>
        <w:t xml:space="preserve">no llevan prefijo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y nunca se exponen al cliente.</w:t>
      </w:r>
    </w:p>
    <w:bookmarkEnd w:id="21"/>
    <w:bookmarkStart w:id="22" w:name="pasos-de-puesta-en-marcha"/>
    <w:p>
      <w:pPr>
        <w:pStyle w:val="Heading2"/>
      </w:pPr>
      <w:r>
        <w:t xml:space="preserve">Pasos de puesta en marcha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Configurar env</w:t>
      </w:r>
      <w:r>
        <w:t xml:space="preserve"> </w:t>
      </w:r>
      <w:r>
        <w:t xml:space="preserve">(tabla anterior).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Aplicar migraciones</w:t>
      </w:r>
      <w:r>
        <w:t xml:space="preserve"> </w:t>
      </w:r>
      <w:r>
        <w:t xml:space="preserve">en orden (carpeta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), de</w:t>
      </w:r>
      <w:r>
        <w:t xml:space="preserve"> </w:t>
      </w:r>
      <w:r>
        <w:rPr>
          <w:rStyle w:val="VerbatimChar"/>
        </w:rPr>
        <w:t xml:space="preserve">20260829120000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20260829120700</w:t>
      </w:r>
      <w:r>
        <w:t xml:space="preserve">. Todas son idempotentes/condicionales.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Verificar seeds</w:t>
      </w:r>
      <w:r>
        <w:t xml:space="preserve">: rol</w:t>
      </w:r>
      <w:r>
        <w:t xml:space="preserve"> </w:t>
      </w:r>
      <w:r>
        <w:rPr>
          <w:rStyle w:val="VerbatimChar"/>
        </w:rPr>
        <w:t xml:space="preserve">asesor</w:t>
      </w:r>
      <w:r>
        <w:t xml:space="preserve">, 4 tipos de consentimiento, etapas y</w:t>
      </w:r>
      <w:r>
        <w:t xml:space="preserve"> </w:t>
      </w:r>
      <w:r>
        <w:t xml:space="preserve">subestados del embudo, y una regla de estancamiento.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Crear un usuario asesor</w:t>
      </w:r>
      <w:r>
        <w:t xml:space="preserve">: alta en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+ fila en</w:t>
      </w:r>
      <w:r>
        <w:t xml:space="preserve"> </w:t>
      </w:r>
      <w:r>
        <w:rPr>
          <w:rStyle w:val="VerbatimChar"/>
        </w:rPr>
        <w:t xml:space="preserve">usuarios_internos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rol_id</w:t>
      </w:r>
      <w:r>
        <w:t xml:space="preserve"> </w:t>
      </w:r>
      <w:r>
        <w:t xml:space="preserve">= asesor y</w:t>
      </w:r>
      <w:r>
        <w:t xml:space="preserve"> </w:t>
      </w:r>
      <w:r>
        <w:rPr>
          <w:rStyle w:val="VerbatimChar"/>
        </w:rPr>
        <w:t xml:space="preserve">auth_user_id</w:t>
      </w:r>
      <w:r>
        <w:t xml:space="preserve"> </w:t>
      </w:r>
      <w:r>
        <w:t xml:space="preserve">enlazado.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Probar OTP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/explorar</w:t>
      </w:r>
      <w:r>
        <w:t xml:space="preserve"> </w:t>
      </w:r>
      <w:r>
        <w:t xml:space="preserve">→ aplicar a una oferta → verificar celular</w:t>
      </w:r>
      <w:r>
        <w:t xml:space="preserve"> </w:t>
      </w:r>
      <w:r>
        <w:t xml:space="preserve">(código demo visible sólo en modo simulado) → otorgar consentimientos.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Probar conversión</w:t>
      </w:r>
      <w:r>
        <w:t xml:space="preserve">: confirmar que se crea persona + oportunidad +</w:t>
      </w:r>
      <w:r>
        <w:t xml:space="preserve"> </w:t>
      </w:r>
      <w:r>
        <w:t xml:space="preserve">aplicación + propuesta; para ofertas</w:t>
      </w:r>
      <w:r>
        <w:t xml:space="preserve"> </w:t>
      </w:r>
      <w:r>
        <w:rPr>
          <w:rStyle w:val="VerbatimChar"/>
        </w:rPr>
        <w:t xml:space="preserve">por_lead</w:t>
      </w:r>
      <w:r>
        <w:t xml:space="preserve">, confirmar que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hay</w:t>
      </w:r>
      <w:r>
        <w:t xml:space="preserve"> </w:t>
      </w:r>
      <w:r>
        <w:t xml:space="preserve">transferencia si falta el consentimiento de transferencia.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Probar workspace</w:t>
      </w:r>
      <w:r>
        <w:t xml:space="preserve">: login en</w:t>
      </w:r>
      <w:r>
        <w:t xml:space="preserve"> </w:t>
      </w:r>
      <w:r>
        <w:rPr>
          <w:rStyle w:val="VerbatimChar"/>
        </w:rPr>
        <w:t xml:space="preserve">/leadcenter</w:t>
      </w:r>
      <w:r>
        <w:t xml:space="preserve">, ver dashboard, abrir una</w:t>
      </w:r>
      <w:r>
        <w:t xml:space="preserve"> </w:t>
      </w:r>
      <w:r>
        <w:t xml:space="preserve">oportunidad, registrar contacto, cambiar etapa, usar el copiloto.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Programar el cron</w:t>
      </w:r>
      <w:r>
        <w:t xml:space="preserve">: llamar</w:t>
      </w:r>
      <w:r>
        <w:t xml:space="preserve"> </w:t>
      </w:r>
      <w:r>
        <w:rPr>
          <w:rStyle w:val="VerbatimChar"/>
        </w:rPr>
        <w:t xml:space="preserve">POST /api/cron/automatizaciones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Authorization: Bearer $CRON_SECRET</w:t>
      </w:r>
      <w:r>
        <w:t xml:space="preserve"> </w:t>
      </w:r>
      <w:r>
        <w:t xml:space="preserve">de forma periódica.</w:t>
      </w:r>
    </w:p>
    <w:bookmarkEnd w:id="22"/>
    <w:bookmarkStart w:id="23" w:name="X63be7a91ea6a699804884c78523cf5f2ffac997"/>
    <w:p>
      <w:pPr>
        <w:pStyle w:val="Heading2"/>
      </w:pPr>
      <w:r>
        <w:t xml:space="preserve">Checklist de aceptación (a ejecutar con credenciales)</w:t>
      </w:r>
    </w:p>
    <w:p>
      <w:pPr>
        <w:numPr>
          <w:ilvl w:val="0"/>
          <w:numId w:val="1003"/>
        </w:numPr>
        <w:pStyle w:val="Compact"/>
      </w:pPr>
      <w:r>
        <w:t xml:space="preserve">☐ Migraciones aplicadas sin error.</w:t>
      </w:r>
    </w:p>
    <w:p>
      <w:pPr>
        <w:numPr>
          <w:ilvl w:val="0"/>
          <w:numId w:val="1003"/>
        </w:numPr>
        <w:pStyle w:val="Compact"/>
      </w:pPr>
      <w:r>
        <w:t xml:space="preserve">☐ RLS: un asesor sólo ve sus oportunidades; super_admin ve todo.</w:t>
      </w:r>
    </w:p>
    <w:p>
      <w:pPr>
        <w:numPr>
          <w:ilvl w:val="0"/>
          <w:numId w:val="1003"/>
        </w:numPr>
        <w:pStyle w:val="Compact"/>
      </w:pPr>
      <w:r>
        <w:t xml:space="preserve">☐ OTP: caducidad, máximo de intentos y rate limit efectivos.</w:t>
      </w:r>
    </w:p>
    <w:p>
      <w:pPr>
        <w:numPr>
          <w:ilvl w:val="0"/>
          <w:numId w:val="1003"/>
        </w:numPr>
        <w:pStyle w:val="Compact"/>
      </w:pPr>
      <w:r>
        <w:t xml:space="preserve">☐ Conversión idempotente (misma</w:t>
      </w:r>
      <w:r>
        <w:t xml:space="preserve"> </w:t>
      </w:r>
      <w:r>
        <w:rPr>
          <w:rStyle w:val="VerbatimChar"/>
        </w:rPr>
        <w:t xml:space="preserve">clave_idempotencia</w:t>
      </w:r>
      <w:r>
        <w:t xml:space="preserve"> </w:t>
      </w:r>
      <w:r>
        <w:t xml:space="preserve">no duplica).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por_lead</w:t>
      </w:r>
      <w:r>
        <w:t xml:space="preserve"> </w:t>
      </w:r>
      <w:r>
        <w:t xml:space="preserve">sin consentimiento → sin transferencia.</w:t>
      </w:r>
    </w:p>
    <w:p>
      <w:pPr>
        <w:numPr>
          <w:ilvl w:val="0"/>
          <w:numId w:val="1003"/>
        </w:numPr>
        <w:pStyle w:val="Compact"/>
      </w:pPr>
      <w:r>
        <w:t xml:space="preserve">☐ Cron idempotente (no duplica tareas de estancamiento).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2026-08-29T19:57:01Z</dcterms:created>
  <dcterms:modified xsi:type="dcterms:W3CDTF">2026-08-29T19:57:01Z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