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fase-5-automatizaciones-y-copiloto"/>
    <w:p>
      <w:pPr>
        <w:pStyle w:val="Heading1"/>
      </w:pPr>
      <w:r>
        <w:t xml:space="preserve">Fase 5 — Automatizaciones y copiloto</w:t>
      </w:r>
    </w:p>
    <w:bookmarkStart w:id="20" w:name="estado"/>
    <w:p>
      <w:pPr>
        <w:pStyle w:val="Heading2"/>
      </w:pPr>
      <w:r>
        <w:t xml:space="preserve">Estado</w:t>
      </w:r>
    </w:p>
    <w:p>
      <w:pPr>
        <w:pStyle w:val="FirstParagraph"/>
      </w:pPr>
      <w:r>
        <w:t xml:space="preserve">Implementado y compilado. No ejecutado (sin credenciales de Supabase ni</w:t>
      </w:r>
      <w:r>
        <w:t xml:space="preserve"> </w:t>
      </w:r>
      <w:r>
        <w:t xml:space="preserve">programador de cron externo en este entorno). Preparado para conectarse a un</w:t>
      </w:r>
      <w:r>
        <w:t xml:space="preserve"> </w:t>
      </w:r>
      <w:r>
        <w:t xml:space="preserve">scheduler real (Vercel Cron, GitHub Actions, cron del servidor, etc.).</w:t>
      </w:r>
    </w:p>
    <w:bookmarkEnd w:id="20"/>
    <w:bookmarkStart w:id="21" w:name="qué-reutilicé"/>
    <w:p>
      <w:pPr>
        <w:pStyle w:val="Heading2"/>
      </w:pPr>
      <w:r>
        <w:t xml:space="preserve">Qué reutilicé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reglas_estancamiento</w:t>
      </w:r>
      <w:r>
        <w:t xml:space="preserve"> </w:t>
      </w:r>
      <w:r>
        <w:t xml:space="preserve">(tabla existente + regla sembrada en Fase 1): el</w:t>
      </w:r>
      <w:r>
        <w:t xml:space="preserve"> </w:t>
      </w:r>
      <w:r>
        <w:t xml:space="preserve">motor no inventa umbrales, lee la configuración de negocio de esa tabla.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tareas_crm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notas_crm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historial_scoring_oportunidad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oportunidades</w:t>
      </w:r>
      <w:r>
        <w:t xml:space="preserve">:</w:t>
      </w:r>
      <w:r>
        <w:t xml:space="preserve"> </w:t>
      </w:r>
      <w:r>
        <w:t xml:space="preserve">las acciones automáticas escriben en las tablas canónicas, sin estructuras</w:t>
      </w:r>
      <w:r>
        <w:t xml:space="preserve"> </w:t>
      </w:r>
      <w:r>
        <w:t xml:space="preserve">paralelas.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Service role helper</w:t>
      </w:r>
      <w:r>
        <w:t xml:space="preserve"> </w:t>
      </w:r>
      <w:r>
        <w:t xml:space="preserve">(</w:t>
      </w:r>
      <w:r>
        <w:rPr>
          <w:rStyle w:val="VerbatimChar"/>
        </w:rPr>
        <w:t xml:space="preserve">getServiceRoleClient</w:t>
      </w:r>
      <w:r>
        <w:t xml:space="preserve">) para la ejecución del cron.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Copiloto determinista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src/lib/leadcenter/copiloto.ts</w:t>
      </w:r>
      <w:r>
        <w:t xml:space="preserve">), ya entregado en</w:t>
      </w:r>
      <w:r>
        <w:t xml:space="preserve"> </w:t>
      </w:r>
      <w:r>
        <w:t xml:space="preserve">la Fase 4, es la contraparte</w:t>
      </w:r>
      <w:r>
        <w:t xml:space="preserve"> </w:t>
      </w:r>
      <w:r>
        <w:t xml:space="preserve">“</w:t>
      </w:r>
      <w:r>
        <w:t xml:space="preserve">en vivo</w:t>
      </w:r>
      <w:r>
        <w:t xml:space="preserve">”</w:t>
      </w:r>
      <w:r>
        <w:t xml:space="preserve"> </w:t>
      </w:r>
      <w:r>
        <w:t xml:space="preserve">del motor de estancamiento.</w:t>
      </w:r>
    </w:p>
    <w:bookmarkEnd w:id="21"/>
    <w:bookmarkStart w:id="22" w:name="qué-extendí-y-por-qué"/>
    <w:p>
      <w:pPr>
        <w:pStyle w:val="Heading2"/>
      </w:pPr>
      <w:r>
        <w:t xml:space="preserve">Qué extendí y por qué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fn_evaluar_estancamiento(p_limite)</w:t>
      </w:r>
      <w:r>
        <w:t xml:space="preserve"> </w:t>
      </w:r>
      <w:r>
        <w:t xml:space="preserve">(nueva migración</w:t>
      </w:r>
      <w:r>
        <w:t xml:space="preserve"> </w:t>
      </w:r>
      <w:r>
        <w:rPr>
          <w:rStyle w:val="VerbatimChar"/>
        </w:rPr>
        <w:t xml:space="preserve">20260829120700_leadcenter_fn_estancamiento.sql</w:t>
      </w:r>
      <w:r>
        <w:t xml:space="preserve">): recorre oportunidades</w:t>
      </w:r>
      <w:r>
        <w:t xml:space="preserve"> </w:t>
      </w:r>
      <w:r>
        <w:t xml:space="preserve">activas, calcula horas sin actividad desde el último cambio de etapa y aplica</w:t>
      </w:r>
      <w:r>
        <w:t xml:space="preserve"> </w:t>
      </w:r>
      <w:r>
        <w:t xml:space="preserve">las acciones de la regla (crear tarea, reducir score, mover a nurturing,</w:t>
      </w:r>
      <w:r>
        <w:t xml:space="preserve"> </w:t>
      </w:r>
      <w:r>
        <w:t xml:space="preserve">escalar a humano). Es</w:t>
      </w:r>
      <w:r>
        <w:t xml:space="preserve"> </w:t>
      </w:r>
      <w:r>
        <w:rPr>
          <w:bCs/>
          <w:b/>
        </w:rPr>
        <w:t xml:space="preserve">idempotente</w:t>
      </w:r>
      <w:r>
        <w:t xml:space="preserve">: mientras exista una tarea automática</w:t>
      </w:r>
      <w:r>
        <w:t xml:space="preserve"> </w:t>
      </w:r>
      <w:r>
        <w:rPr>
          <w:rStyle w:val="VerbatimChar"/>
        </w:rPr>
        <w:t xml:space="preserve">automatica_estancamiento</w:t>
      </w:r>
      <w:r>
        <w:t xml:space="preserve"> </w:t>
      </w:r>
      <w:r>
        <w:t xml:space="preserve">pendiente para la oportunidad, no la vuelve a</w:t>
      </w:r>
      <w:r>
        <w:t xml:space="preserve"> </w:t>
      </w:r>
      <w:r>
        <w:t xml:space="preserve">procesar. Así el cron puede correr con la frecuencia que se quiera sin duplicar</w:t>
      </w:r>
      <w:r>
        <w:t xml:space="preserve"> </w:t>
      </w:r>
      <w:r>
        <w:t xml:space="preserve">efectos.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/api/cron/automatizaciones</w:t>
      </w:r>
      <w:r>
        <w:t xml:space="preserve">: endpoint protegido por</w:t>
      </w:r>
      <w:r>
        <w:t xml:space="preserve"> </w:t>
      </w:r>
      <w:r>
        <w:rPr>
          <w:rStyle w:val="VerbatimChar"/>
        </w:rPr>
        <w:t xml:space="preserve">CRON_SECRET</w:t>
      </w:r>
      <w:r>
        <w:t xml:space="preserve"> </w:t>
      </w:r>
      <w:r>
        <w:t xml:space="preserve">(cabecera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?secret=</w:t>
      </w:r>
      <w:r>
        <w:t xml:space="preserve">). Si el secreto no está</w:t>
      </w:r>
      <w:r>
        <w:t xml:space="preserve"> </w:t>
      </w:r>
      <w:r>
        <w:t xml:space="preserve">configurado, el endpoint se autodeshabilita (503) para evitar ejecuciones</w:t>
      </w:r>
      <w:r>
        <w:t xml:space="preserve"> </w:t>
      </w:r>
      <w:r>
        <w:t xml:space="preserve">anónimas. Invoca la RPC con service role.</w:t>
      </w:r>
    </w:p>
    <w:bookmarkEnd w:id="22"/>
    <w:bookmarkStart w:id="23" w:name="X7e096dda8691b4dc6f15f6ec29b7af9cba9dc01"/>
    <w:p>
      <w:pPr>
        <w:pStyle w:val="Heading2"/>
      </w:pPr>
      <w:r>
        <w:t xml:space="preserve">Principio de diseño del copiloto/automatización</w:t>
      </w:r>
    </w:p>
    <w:p>
      <w:pPr>
        <w:numPr>
          <w:ilvl w:val="0"/>
          <w:numId w:val="1003"/>
        </w:numPr>
        <w:pStyle w:val="Compact"/>
      </w:pPr>
      <w:r>
        <w:t xml:space="preserve">El</w:t>
      </w:r>
      <w:r>
        <w:t xml:space="preserve"> </w:t>
      </w:r>
      <w:r>
        <w:rPr>
          <w:bCs/>
          <w:b/>
        </w:rPr>
        <w:t xml:space="preserve">copiloto nunca actúa solo</w:t>
      </w:r>
      <w:r>
        <w:t xml:space="preserve">: sugiere y el asesor decide; cada decisión se</w:t>
      </w:r>
      <w:r>
        <w:t xml:space="preserve"> </w:t>
      </w:r>
      <w:r>
        <w:t xml:space="preserve">audita como nota interna.</w:t>
      </w:r>
    </w:p>
    <w:p>
      <w:pPr>
        <w:numPr>
          <w:ilvl w:val="0"/>
          <w:numId w:val="1003"/>
        </w:numPr>
        <w:pStyle w:val="Compact"/>
      </w:pPr>
      <w:r>
        <w:t xml:space="preserve">La</w:t>
      </w:r>
      <w:r>
        <w:t xml:space="preserve"> </w:t>
      </w:r>
      <w:r>
        <w:rPr>
          <w:bCs/>
          <w:b/>
        </w:rPr>
        <w:t xml:space="preserve">automatización de estancamiento</w:t>
      </w:r>
      <w:r>
        <w:t xml:space="preserve"> </w:t>
      </w:r>
      <w:r>
        <w:t xml:space="preserve">sí realiza acciones acotadas y seguras</w:t>
      </w:r>
      <w:r>
        <w:t xml:space="preserve"> </w:t>
      </w:r>
      <w:r>
        <w:t xml:space="preserve">(crear tarea, ajustar score/temperatura, dejar constancia), pero</w:t>
      </w:r>
      <w:r>
        <w:t xml:space="preserve"> </w:t>
      </w:r>
      <w:r>
        <w:rPr>
          <w:bCs/>
          <w:b/>
        </w:rPr>
        <w:t xml:space="preserve">nunca</w:t>
      </w:r>
      <w:r>
        <w:t xml:space="preserve"> </w:t>
      </w:r>
      <w:r>
        <w:t xml:space="preserve">transfiere datos, nunca borra y nunca contacta a la persona por su cuenta:</w:t>
      </w:r>
      <w:r>
        <w:t xml:space="preserve"> </w:t>
      </w:r>
      <w:r>
        <w:t xml:space="preserve">cualquier envío real queda para el flujo de comunicaciones (pendiente).</w:t>
      </w:r>
    </w:p>
    <w:bookmarkEnd w:id="23"/>
    <w:bookmarkStart w:id="24" w:name="archivos"/>
    <w:p>
      <w:pPr>
        <w:pStyle w:val="Heading2"/>
      </w:pPr>
      <w:r>
        <w:t xml:space="preserve">Archivos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supabase/migrations/20260829120700_leadcenter_fn_estancamiento.sql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app/api/cron/automatizaciones/route.ts</w:t>
      </w:r>
    </w:p>
    <w:bookmarkEnd w:id="24"/>
    <w:bookmarkStart w:id="25" w:name="migraciones"/>
    <w:p>
      <w:pPr>
        <w:pStyle w:val="Heading2"/>
      </w:pPr>
      <w:r>
        <w:t xml:space="preserve">Migraciones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fn_evaluar_estancamiento(integer)</w:t>
      </w:r>
      <w:r>
        <w:t xml:space="preserve"> </w:t>
      </w:r>
      <w:r>
        <w:t xml:space="preserve">— SECURITY DEFINER, idempotente.</w:t>
      </w:r>
    </w:p>
    <w:bookmarkEnd w:id="25"/>
    <w:bookmarkStart w:id="26" w:name="pruebas"/>
    <w:p>
      <w:pPr>
        <w:pStyle w:val="Heading2"/>
      </w:pPr>
      <w:r>
        <w:t xml:space="preserve">Pruebas</w:t>
      </w:r>
    </w:p>
    <w:p>
      <w:pPr>
        <w:numPr>
          <w:ilvl w:val="0"/>
          <w:numId w:val="1006"/>
        </w:numPr>
        <w:pStyle w:val="Compact"/>
      </w:pPr>
      <w:r>
        <w:t xml:space="preserve">Compilación del endpoint con</w:t>
      </w:r>
      <w:r>
        <w:t xml:space="preserve"> </w:t>
      </w:r>
      <w:r>
        <w:rPr>
          <w:rStyle w:val="VerbatimChar"/>
        </w:rPr>
        <w:t xml:space="preserve">next build</w:t>
      </w:r>
      <w:r>
        <w:t xml:space="preserve"> </w:t>
      </w:r>
      <w:r>
        <w:t xml:space="preserve">(Fase 6).</w:t>
      </w:r>
    </w:p>
    <w:p>
      <w:pPr>
        <w:numPr>
          <w:ilvl w:val="0"/>
          <w:numId w:val="1006"/>
        </w:numPr>
        <w:pStyle w:val="Compact"/>
      </w:pPr>
      <w:r>
        <w:t xml:space="preserve">No ejecutado contra BD real por falta de credenciales.</w:t>
      </w:r>
    </w:p>
    <w:p>
      <w:pPr>
        <w:numPr>
          <w:ilvl w:val="0"/>
          <w:numId w:val="1006"/>
        </w:numPr>
        <w:pStyle w:val="Compact"/>
      </w:pPr>
      <w:r>
        <w:t xml:space="preserve">Idempotencia razonada y garantizada por la guarda de tarea pendiente.</w:t>
      </w:r>
    </w:p>
    <w:bookmarkEnd w:id="26"/>
    <w:bookmarkStart w:id="27" w:name="X0de95e6abdcd45c6930c0ee176c3699568b4f21"/>
    <w:p>
      <w:pPr>
        <w:pStyle w:val="Heading2"/>
      </w:pPr>
      <w:r>
        <w:t xml:space="preserve">Cómo se conecta a producción (pendiente de infraestructura)</w:t>
      </w:r>
    </w:p>
    <w:p>
      <w:pPr>
        <w:numPr>
          <w:ilvl w:val="0"/>
          <w:numId w:val="1007"/>
        </w:numPr>
        <w:pStyle w:val="Compact"/>
      </w:pPr>
      <w:r>
        <w:t xml:space="preserve">Definir</w:t>
      </w:r>
      <w:r>
        <w:t xml:space="preserve"> </w:t>
      </w:r>
      <w:r>
        <w:rPr>
          <w:rStyle w:val="VerbatimChar"/>
        </w:rPr>
        <w:t xml:space="preserve">CRON_SECRET</w:t>
      </w:r>
      <w:r>
        <w:t xml:space="preserve"> </w:t>
      </w:r>
      <w:r>
        <w:t xml:space="preserve">en el entorno.</w:t>
      </w:r>
    </w:p>
    <w:p>
      <w:pPr>
        <w:numPr>
          <w:ilvl w:val="0"/>
          <w:numId w:val="1007"/>
        </w:numPr>
        <w:pStyle w:val="Compact"/>
      </w:pPr>
      <w:r>
        <w:t xml:space="preserve">Programar una llamada periódica (p. ej. cada hora) a</w:t>
      </w:r>
      <w:r>
        <w:t xml:space="preserve"> </w:t>
      </w:r>
      <w:r>
        <w:rPr>
          <w:rStyle w:val="VerbatimChar"/>
        </w:rPr>
        <w:t xml:space="preserve">POST /api/cron/automatizaciones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Authorization: Bearer $CRON_SECRET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(Opcional) Ajustar</w:t>
      </w:r>
      <w:r>
        <w:t xml:space="preserve"> </w:t>
      </w:r>
      <w:r>
        <w:rPr>
          <w:rStyle w:val="VerbatimChar"/>
        </w:rPr>
        <w:t xml:space="preserve">p_limite</w:t>
      </w:r>
      <w:r>
        <w:t xml:space="preserve"> </w:t>
      </w:r>
      <w:r>
        <w:t xml:space="preserve">o la frecuencia según volumen.</w:t>
      </w:r>
    </w:p>
    <w:bookmarkEnd w:id="27"/>
    <w:bookmarkStart w:id="28" w:name="riesgos"/>
    <w:p>
      <w:pPr>
        <w:pStyle w:val="Heading2"/>
      </w:pPr>
      <w:r>
        <w:t xml:space="preserve">Riesgos</w:t>
      </w:r>
    </w:p>
    <w:p>
      <w:pPr>
        <w:numPr>
          <w:ilvl w:val="0"/>
          <w:numId w:val="1008"/>
        </w:numPr>
        <w:pStyle w:val="Compact"/>
      </w:pPr>
      <w:r>
        <w:t xml:space="preserve">El cálculo de</w:t>
      </w:r>
      <w:r>
        <w:t xml:space="preserve"> </w:t>
      </w:r>
      <w:r>
        <w:t xml:space="preserve">“</w:t>
      </w:r>
      <w:r>
        <w:t xml:space="preserve">tiempo en etapa</w:t>
      </w:r>
      <w:r>
        <w:t xml:space="preserve">”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historial_etapas_oportunidad</w:t>
      </w:r>
      <w:r>
        <w:t xml:space="preserve">; si una</w:t>
      </w:r>
      <w:r>
        <w:t xml:space="preserve"> </w:t>
      </w:r>
      <w:r>
        <w:t xml:space="preserve">oportunidad no tiene historial, cae a</w:t>
      </w:r>
      <w:r>
        <w:t xml:space="preserve"> </w:t>
      </w:r>
      <w:r>
        <w:rPr>
          <w:rStyle w:val="VerbatimChar"/>
        </w:rPr>
        <w:t xml:space="preserve">actualizado_en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La reducción de score usa un decremento fijo (−5); si se desea que dependa de</w:t>
      </w:r>
      <w:r>
        <w:t xml:space="preserve"> </w:t>
      </w:r>
      <w:r>
        <w:t xml:space="preserve">la regla, se añadiría una columna</w:t>
      </w:r>
      <w:r>
        <w:t xml:space="preserve"> </w:t>
      </w:r>
      <w:r>
        <w:rPr>
          <w:rStyle w:val="VerbatimChar"/>
        </w:rPr>
        <w:t xml:space="preserve">puntos_a_restar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reglas_estancamiento</w:t>
      </w:r>
      <w:r>
        <w:t xml:space="preserve"> </w:t>
      </w:r>
      <w:r>
        <w:t xml:space="preserve">(no se hizo para no alterar el esquema).</w:t>
      </w:r>
    </w:p>
    <w:bookmarkEnd w:id="28"/>
    <w:bookmarkStart w:id="29" w:name="decisión-para-continuar"/>
    <w:p>
      <w:pPr>
        <w:pStyle w:val="Heading2"/>
      </w:pPr>
      <w:r>
        <w:t xml:space="preserve">Decisión para continuar</w:t>
      </w:r>
    </w:p>
    <w:p>
      <w:pPr>
        <w:pStyle w:val="FirstParagraph"/>
      </w:pPr>
      <w:r>
        <w:t xml:space="preserve">Avanzar a la Fase 6: verificación (build), documentación de operación y control</w:t>
      </w:r>
      <w:r>
        <w:t xml:space="preserve"> </w:t>
      </w:r>
      <w:r>
        <w:t xml:space="preserve">de versiones.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2026-08-29T19:55:37Z</dcterms:created>
  <dcterms:modified xsi:type="dcterms:W3CDTF">2026-08-29T19:55:37Z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