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736CD" w14:textId="2EC45DD5" w:rsidR="00293B79" w:rsidRDefault="00293B79" w:rsidP="00293B79">
      <w:pPr>
        <w:shd w:val="clear" w:color="auto" w:fill="FFFFFF"/>
        <w:spacing w:after="120"/>
        <w:jc w:val="both"/>
        <w:rPr>
          <w:rFonts w:ascii="Arial" w:eastAsia="Times New Roman" w:hAnsi="Arial" w:cs="Arial"/>
          <w:color w:val="222222"/>
          <w:sz w:val="36"/>
          <w:szCs w:val="36"/>
        </w:rPr>
      </w:pPr>
      <w:r w:rsidRPr="00293B79">
        <w:rPr>
          <w:rFonts w:ascii="Arial" w:eastAsia="Times New Roman" w:hAnsi="Arial" w:cs="Arial"/>
          <w:color w:val="222222"/>
          <w:sz w:val="36"/>
          <w:szCs w:val="36"/>
        </w:rPr>
        <w:t>Metrics</w:t>
      </w:r>
    </w:p>
    <w:p w14:paraId="07D15868" w14:textId="38A6EB2C" w:rsidR="006E71FB" w:rsidRDefault="006E71FB" w:rsidP="00ED3141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>Molecular Formula (</w:t>
      </w:r>
      <w:proofErr w:type="spellStart"/>
      <w:r>
        <w:rPr>
          <w:rFonts w:ascii="Arial" w:eastAsia="Times New Roman" w:hAnsi="Arial" w:cs="Arial"/>
          <w:b/>
          <w:bCs/>
          <w:color w:val="222222"/>
        </w:rPr>
        <w:t>MolForm</w:t>
      </w:r>
      <w:proofErr w:type="spellEnd"/>
      <w:r>
        <w:rPr>
          <w:rFonts w:ascii="Arial" w:eastAsia="Times New Roman" w:hAnsi="Arial" w:cs="Arial"/>
          <w:b/>
          <w:bCs/>
          <w:color w:val="222222"/>
        </w:rPr>
        <w:t>):</w:t>
      </w:r>
    </w:p>
    <w:p w14:paraId="533BBB9A" w14:textId="2E90FE81" w:rsidR="006E71FB" w:rsidRPr="00E634BC" w:rsidRDefault="006E71FB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Molecular formula determined by Compound Identification Algorithm, determined using the program </w:t>
      </w:r>
      <w:proofErr w:type="spellStart"/>
      <w:r>
        <w:rPr>
          <w:rFonts w:ascii="Arial" w:eastAsia="Times New Roman" w:hAnsi="Arial" w:cs="Arial"/>
          <w:color w:val="222222"/>
        </w:rPr>
        <w:t>Formularity</w:t>
      </w:r>
      <w:proofErr w:type="spellEnd"/>
      <w:r>
        <w:rPr>
          <w:rFonts w:ascii="Arial" w:eastAsia="Times New Roman" w:hAnsi="Arial" w:cs="Arial"/>
          <w:color w:val="222222"/>
        </w:rPr>
        <w:t>.</w:t>
      </w:r>
      <w:r w:rsidR="00E634BC">
        <w:rPr>
          <w:rFonts w:ascii="Arial" w:eastAsia="Times New Roman" w:hAnsi="Arial" w:cs="Arial"/>
          <w:color w:val="222222"/>
        </w:rPr>
        <w:t xml:space="preserve"> </w:t>
      </w:r>
      <w:hyperlink r:id="rId4" w:history="1">
        <w:proofErr w:type="spellStart"/>
        <w:r w:rsidRPr="00372160">
          <w:rPr>
            <w:rStyle w:val="Hyperlink"/>
            <w:rFonts w:ascii="Arial" w:eastAsia="Times New Roman" w:hAnsi="Arial" w:cs="Arial"/>
            <w:color w:val="078DBA"/>
          </w:rPr>
          <w:t>Tolic</w:t>
        </w:r>
        <w:proofErr w:type="spellEnd"/>
        <w:r w:rsidRPr="00372160">
          <w:rPr>
            <w:rStyle w:val="Hyperlink"/>
            <w:rFonts w:ascii="Arial" w:eastAsia="Times New Roman" w:hAnsi="Arial" w:cs="Arial"/>
            <w:color w:val="078DBA"/>
          </w:rPr>
          <w:t xml:space="preserve"> et al., 2017</w:t>
        </w:r>
      </w:hyperlink>
      <w:r>
        <w:rPr>
          <w:rFonts w:ascii="Arial" w:eastAsia="Times New Roman" w:hAnsi="Arial" w:cs="Arial"/>
          <w:color w:val="222222"/>
          <w:vertAlign w:val="superscript"/>
        </w:rPr>
        <w:t>1</w:t>
      </w:r>
    </w:p>
    <w:p w14:paraId="034F52B5" w14:textId="77777777" w:rsidR="006E71FB" w:rsidRDefault="006E71FB" w:rsidP="00ED3141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</w:rPr>
      </w:pPr>
    </w:p>
    <w:p w14:paraId="06B07D91" w14:textId="053953C5" w:rsidR="00DE4C68" w:rsidRPr="00ED3141" w:rsidRDefault="00DE4C68" w:rsidP="00ED3141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</w:rPr>
      </w:pPr>
      <w:r w:rsidRPr="00ED3141">
        <w:rPr>
          <w:rFonts w:ascii="Arial" w:eastAsia="Times New Roman" w:hAnsi="Arial" w:cs="Arial"/>
          <w:b/>
          <w:bCs/>
          <w:color w:val="222222"/>
        </w:rPr>
        <w:t>Aromaticity</w:t>
      </w:r>
      <w:r w:rsidR="00ED3141" w:rsidRPr="00ED3141">
        <w:rPr>
          <w:rFonts w:ascii="Arial" w:eastAsia="Times New Roman" w:hAnsi="Arial" w:cs="Arial"/>
          <w:b/>
          <w:bCs/>
          <w:color w:val="222222"/>
        </w:rPr>
        <w:t xml:space="preserve"> Index (AI)</w:t>
      </w:r>
      <w:r w:rsidRPr="00ED3141">
        <w:rPr>
          <w:rFonts w:ascii="Arial" w:eastAsia="Times New Roman" w:hAnsi="Arial" w:cs="Arial"/>
          <w:b/>
          <w:bCs/>
          <w:color w:val="222222"/>
        </w:rPr>
        <w:t>:</w:t>
      </w:r>
    </w:p>
    <w:p w14:paraId="431F1C68" w14:textId="77777777" w:rsidR="00ED3141" w:rsidRPr="00ED3141" w:rsidRDefault="00ED3141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</w:rPr>
      </w:pPr>
    </w:p>
    <w:p w14:paraId="6264E91B" w14:textId="1B9199D3" w:rsidR="003C2B4F" w:rsidRPr="00ED3141" w:rsidRDefault="003C2B4F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ED3141">
        <w:rPr>
          <w:rFonts w:ascii="Arial" w:eastAsia="Times New Roman" w:hAnsi="Arial" w:cs="Arial"/>
          <w:noProof/>
          <w:color w:val="222222"/>
          <w:bdr w:val="none" w:sz="0" w:space="0" w:color="auto" w:frame="1"/>
        </w:rPr>
        <w:drawing>
          <wp:inline distT="0" distB="0" distL="0" distR="0" wp14:anchorId="003956C4" wp14:editId="32C24272">
            <wp:extent cx="21209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F78A" w14:textId="77777777" w:rsidR="00ED3141" w:rsidRPr="00ED3141" w:rsidRDefault="00ED3141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  <w:bdr w:val="none" w:sz="0" w:space="0" w:color="auto" w:frame="1"/>
        </w:rPr>
      </w:pPr>
    </w:p>
    <w:p w14:paraId="544F9F1A" w14:textId="2D62BE78" w:rsidR="00DE4C68" w:rsidRPr="00ED3141" w:rsidRDefault="00DE4C68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ED3141">
        <w:rPr>
          <w:rFonts w:ascii="Arial" w:eastAsia="Times New Roman" w:hAnsi="Arial" w:cs="Arial"/>
          <w:color w:val="222222"/>
        </w:rPr>
        <w:t>When the numerator or denominator is </w:t>
      </w:r>
      <w:r w:rsidRPr="00ED3141">
        <w:rPr>
          <w:rFonts w:ascii="Arial" w:eastAsia="Times New Roman" w:hAnsi="Arial" w:cs="Arial"/>
          <w:color w:val="222222"/>
          <w:bdr w:val="none" w:sz="0" w:space="0" w:color="auto" w:frame="1"/>
        </w:rPr>
        <w:t>≤0</w:t>
      </w:r>
      <w:r w:rsidRPr="00ED3141">
        <w:rPr>
          <w:rFonts w:ascii="Arial" w:eastAsia="Times New Roman" w:hAnsi="Arial" w:cs="Arial"/>
          <w:color w:val="222222"/>
        </w:rPr>
        <w:t>, aromaticity is 0. When aromaticity </w:t>
      </w:r>
      <w:r w:rsidRPr="00ED3141">
        <w:rPr>
          <w:rFonts w:ascii="Arial" w:eastAsia="Times New Roman" w:hAnsi="Arial" w:cs="Arial"/>
          <w:color w:val="222222"/>
          <w:bdr w:val="none" w:sz="0" w:space="0" w:color="auto" w:frame="1"/>
        </w:rPr>
        <w:t>&gt;0.5</w:t>
      </w:r>
      <w:r w:rsidR="003C2B4F" w:rsidRPr="00ED3141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r w:rsidRPr="00ED3141">
        <w:rPr>
          <w:rFonts w:ascii="Arial" w:eastAsia="Times New Roman" w:hAnsi="Arial" w:cs="Arial"/>
          <w:color w:val="222222"/>
        </w:rPr>
        <w:t>a compound is considered not aromatic, </w:t>
      </w:r>
      <w:r w:rsidRPr="00ED3141">
        <w:rPr>
          <w:rFonts w:ascii="Arial" w:eastAsia="Times New Roman" w:hAnsi="Arial" w:cs="Arial"/>
          <w:color w:val="222222"/>
          <w:bdr w:val="none" w:sz="0" w:space="0" w:color="auto" w:frame="1"/>
        </w:rPr>
        <w:t>0.5≤</w:t>
      </w:r>
      <w:r w:rsidRPr="00ED3141">
        <w:rPr>
          <w:rFonts w:ascii="Arial" w:eastAsia="Times New Roman" w:hAnsi="Arial" w:cs="Arial"/>
          <w:color w:val="222222"/>
        </w:rPr>
        <w:t>aromaticity </w:t>
      </w:r>
      <w:r w:rsidRPr="00ED3141">
        <w:rPr>
          <w:rFonts w:ascii="Arial" w:eastAsia="Times New Roman" w:hAnsi="Arial" w:cs="Arial"/>
          <w:color w:val="222222"/>
          <w:bdr w:val="none" w:sz="0" w:space="0" w:color="auto" w:frame="1"/>
        </w:rPr>
        <w:t>&lt;0.67</w:t>
      </w:r>
      <w:r w:rsidRPr="00ED3141">
        <w:rPr>
          <w:rFonts w:ascii="Arial" w:eastAsia="Times New Roman" w:hAnsi="Arial" w:cs="Arial"/>
          <w:color w:val="222222"/>
        </w:rPr>
        <w:t>a compound is aromatic, and when aromaticity </w:t>
      </w:r>
      <w:r w:rsidRPr="00ED3141">
        <w:rPr>
          <w:rFonts w:ascii="Arial" w:eastAsia="Times New Roman" w:hAnsi="Arial" w:cs="Arial"/>
          <w:color w:val="222222"/>
          <w:bdr w:val="none" w:sz="0" w:space="0" w:color="auto" w:frame="1"/>
        </w:rPr>
        <w:t>≥0.67</w:t>
      </w:r>
      <w:r w:rsidRPr="00ED3141">
        <w:rPr>
          <w:rFonts w:ascii="Arial" w:eastAsia="Times New Roman" w:hAnsi="Arial" w:cs="Arial"/>
          <w:color w:val="222222"/>
        </w:rPr>
        <w:t>a compound is a condensed aromatic. </w:t>
      </w:r>
      <w:hyperlink r:id="rId6" w:history="1">
        <w:r w:rsidRPr="00ED3141">
          <w:rPr>
            <w:rFonts w:ascii="Arial" w:eastAsia="Times New Roman" w:hAnsi="Arial" w:cs="Arial"/>
            <w:color w:val="008CBA"/>
            <w:u w:val="single"/>
          </w:rPr>
          <w:t>Koch &amp; Dittmar, 2006</w:t>
        </w:r>
      </w:hyperlink>
      <w:r w:rsidR="00E634BC">
        <w:rPr>
          <w:rFonts w:ascii="Arial" w:eastAsia="Times New Roman" w:hAnsi="Arial" w:cs="Arial"/>
          <w:color w:val="222222"/>
          <w:bdr w:val="none" w:sz="0" w:space="0" w:color="auto" w:frame="1"/>
          <w:vertAlign w:val="superscript"/>
        </w:rPr>
        <w:t>2</w:t>
      </w:r>
      <w:r w:rsidRPr="00ED3141">
        <w:rPr>
          <w:rFonts w:ascii="Arial" w:eastAsia="Times New Roman" w:hAnsi="Arial" w:cs="Arial"/>
          <w:color w:val="222222"/>
        </w:rPr>
        <w:t> </w:t>
      </w:r>
      <w:hyperlink r:id="rId7" w:history="1">
        <w:r w:rsidRPr="00ED3141">
          <w:rPr>
            <w:rFonts w:ascii="Arial" w:eastAsia="Times New Roman" w:hAnsi="Arial" w:cs="Arial"/>
            <w:color w:val="008CBA"/>
            <w:u w:val="single"/>
          </w:rPr>
          <w:t>Erratum</w:t>
        </w:r>
      </w:hyperlink>
      <w:r w:rsidR="00E634BC">
        <w:rPr>
          <w:rFonts w:ascii="Arial" w:eastAsia="Times New Roman" w:hAnsi="Arial" w:cs="Arial"/>
          <w:color w:val="222222"/>
          <w:bdr w:val="none" w:sz="0" w:space="0" w:color="auto" w:frame="1"/>
          <w:vertAlign w:val="superscript"/>
        </w:rPr>
        <w:t>3</w:t>
      </w:r>
    </w:p>
    <w:p w14:paraId="45D9CAAF" w14:textId="4F417A22" w:rsidR="00ED3141" w:rsidRPr="00ED3141" w:rsidRDefault="00ED3141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  <w:bdr w:val="none" w:sz="0" w:space="0" w:color="auto" w:frame="1"/>
        </w:rPr>
      </w:pPr>
    </w:p>
    <w:p w14:paraId="33530E37" w14:textId="5B133256" w:rsidR="00ED3141" w:rsidRPr="00ED3141" w:rsidRDefault="00ED3141" w:rsidP="00ED3141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</w:rPr>
      </w:pPr>
      <w:r w:rsidRPr="00ED3141">
        <w:rPr>
          <w:rFonts w:ascii="Arial" w:eastAsia="Times New Roman" w:hAnsi="Arial" w:cs="Arial"/>
          <w:b/>
          <w:bCs/>
          <w:color w:val="222222"/>
        </w:rPr>
        <w:t>Modified Aromaticity Index (</w:t>
      </w:r>
      <w:proofErr w:type="spellStart"/>
      <w:r w:rsidRPr="00ED3141">
        <w:rPr>
          <w:rFonts w:ascii="Arial" w:eastAsia="Times New Roman" w:hAnsi="Arial" w:cs="Arial"/>
          <w:b/>
          <w:bCs/>
          <w:color w:val="222222"/>
        </w:rPr>
        <w:t>AI_Mod</w:t>
      </w:r>
      <w:proofErr w:type="spellEnd"/>
      <w:r w:rsidRPr="00ED3141">
        <w:rPr>
          <w:rFonts w:ascii="Arial" w:eastAsia="Times New Roman" w:hAnsi="Arial" w:cs="Arial"/>
          <w:b/>
          <w:bCs/>
          <w:color w:val="222222"/>
        </w:rPr>
        <w:t>):</w:t>
      </w:r>
    </w:p>
    <w:p w14:paraId="0A7EF8D8" w14:textId="77777777" w:rsidR="00ED3141" w:rsidRPr="00ED3141" w:rsidRDefault="00ED3141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</w:rPr>
      </w:pPr>
    </w:p>
    <w:p w14:paraId="14551373" w14:textId="441D23A7" w:rsidR="00ED3141" w:rsidRPr="00ED3141" w:rsidRDefault="00ED3141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ED3141">
        <w:rPr>
          <w:rFonts w:ascii="Arial" w:eastAsia="Times New Roman" w:hAnsi="Arial" w:cs="Arial"/>
          <w:noProof/>
          <w:color w:val="222222"/>
          <w:bdr w:val="none" w:sz="0" w:space="0" w:color="auto" w:frame="1"/>
        </w:rPr>
        <w:drawing>
          <wp:inline distT="0" distB="0" distL="0" distR="0" wp14:anchorId="5865F73E" wp14:editId="5ACAE954">
            <wp:extent cx="2298700" cy="50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8573" w14:textId="77777777" w:rsidR="00ED3141" w:rsidRPr="00ED3141" w:rsidRDefault="00ED3141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  <w:bdr w:val="none" w:sz="0" w:space="0" w:color="auto" w:frame="1"/>
        </w:rPr>
      </w:pPr>
    </w:p>
    <w:p w14:paraId="0D9790AD" w14:textId="70B412FF" w:rsidR="00DE4C68" w:rsidRPr="00ED3141" w:rsidRDefault="00ED3141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ED3141">
        <w:rPr>
          <w:rFonts w:ascii="Arial" w:eastAsia="Times New Roman" w:hAnsi="Arial" w:cs="Arial"/>
          <w:color w:val="222222"/>
        </w:rPr>
        <w:t>When the numerator or denominator is </w:t>
      </w:r>
      <w:r w:rsidRPr="00ED3141">
        <w:rPr>
          <w:rFonts w:ascii="Arial" w:eastAsia="Times New Roman" w:hAnsi="Arial" w:cs="Arial"/>
          <w:color w:val="222222"/>
          <w:bdr w:val="none" w:sz="0" w:space="0" w:color="auto" w:frame="1"/>
        </w:rPr>
        <w:t>≤0</w:t>
      </w:r>
      <w:r w:rsidRPr="00ED3141">
        <w:rPr>
          <w:rFonts w:ascii="Arial" w:eastAsia="Times New Roman" w:hAnsi="Arial" w:cs="Arial"/>
          <w:color w:val="222222"/>
        </w:rPr>
        <w:t>, modified aromaticity is 0. When modified aromaticity </w:t>
      </w:r>
      <w:r w:rsidRPr="00ED3141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&gt;0.5 </w:t>
      </w:r>
      <w:r w:rsidRPr="00ED3141">
        <w:rPr>
          <w:rFonts w:ascii="Arial" w:eastAsia="Times New Roman" w:hAnsi="Arial" w:cs="Arial"/>
          <w:color w:val="222222"/>
        </w:rPr>
        <w:t>a compound is considered not aromatic, </w:t>
      </w:r>
      <w:r w:rsidRPr="00ED3141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0.5≤ </w:t>
      </w:r>
      <w:r w:rsidRPr="00ED3141">
        <w:rPr>
          <w:rFonts w:ascii="Arial" w:eastAsia="Times New Roman" w:hAnsi="Arial" w:cs="Arial"/>
          <w:color w:val="222222"/>
        </w:rPr>
        <w:t>modified aromaticity </w:t>
      </w:r>
      <w:r w:rsidRPr="00ED3141">
        <w:rPr>
          <w:rFonts w:ascii="Arial" w:eastAsia="Times New Roman" w:hAnsi="Arial" w:cs="Arial"/>
          <w:color w:val="222222"/>
          <w:bdr w:val="none" w:sz="0" w:space="0" w:color="auto" w:frame="1"/>
        </w:rPr>
        <w:t>&lt;0.67</w:t>
      </w:r>
      <w:r w:rsidRPr="00ED3141">
        <w:rPr>
          <w:rFonts w:ascii="Arial" w:eastAsia="Times New Roman" w:hAnsi="Arial" w:cs="Arial"/>
          <w:color w:val="222222"/>
        </w:rPr>
        <w:t>a compound is aromatic, and when modified aromaticity </w:t>
      </w:r>
      <w:r w:rsidRPr="00ED3141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≥0.67 </w:t>
      </w:r>
      <w:r w:rsidRPr="00ED3141">
        <w:rPr>
          <w:rFonts w:ascii="Arial" w:eastAsia="Times New Roman" w:hAnsi="Arial" w:cs="Arial"/>
          <w:color w:val="222222"/>
        </w:rPr>
        <w:t>a compound is a condensed aromatic. </w:t>
      </w:r>
      <w:hyperlink r:id="rId9" w:history="1">
        <w:r w:rsidRPr="00ED3141">
          <w:rPr>
            <w:rFonts w:ascii="Arial" w:eastAsia="Times New Roman" w:hAnsi="Arial" w:cs="Arial"/>
            <w:color w:val="008CBA"/>
            <w:u w:val="single"/>
          </w:rPr>
          <w:t>Koch &amp; Dittmar, 2006</w:t>
        </w:r>
      </w:hyperlink>
      <w:r w:rsidR="00E634BC">
        <w:rPr>
          <w:rFonts w:ascii="Arial" w:eastAsia="Times New Roman" w:hAnsi="Arial" w:cs="Arial"/>
          <w:color w:val="222222"/>
          <w:bdr w:val="none" w:sz="0" w:space="0" w:color="auto" w:frame="1"/>
          <w:vertAlign w:val="superscript"/>
        </w:rPr>
        <w:t>2</w:t>
      </w:r>
      <w:r w:rsidRPr="00ED3141">
        <w:rPr>
          <w:rFonts w:ascii="Arial" w:eastAsia="Times New Roman" w:hAnsi="Arial" w:cs="Arial"/>
          <w:color w:val="222222"/>
        </w:rPr>
        <w:t> </w:t>
      </w:r>
      <w:hyperlink r:id="rId10" w:history="1">
        <w:r w:rsidRPr="00ED3141">
          <w:rPr>
            <w:rFonts w:ascii="Arial" w:eastAsia="Times New Roman" w:hAnsi="Arial" w:cs="Arial"/>
            <w:color w:val="008CBA"/>
            <w:u w:val="single"/>
          </w:rPr>
          <w:t>Erratum</w:t>
        </w:r>
      </w:hyperlink>
      <w:r w:rsidR="00E634BC">
        <w:rPr>
          <w:rFonts w:ascii="Arial" w:eastAsia="Times New Roman" w:hAnsi="Arial" w:cs="Arial"/>
          <w:color w:val="222222"/>
          <w:bdr w:val="none" w:sz="0" w:space="0" w:color="auto" w:frame="1"/>
          <w:vertAlign w:val="superscript"/>
        </w:rPr>
        <w:t>3</w:t>
      </w:r>
    </w:p>
    <w:p w14:paraId="0C29283D" w14:textId="77777777" w:rsidR="00ED3141" w:rsidRPr="00ED3141" w:rsidRDefault="00ED3141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</w:rPr>
      </w:pPr>
    </w:p>
    <w:p w14:paraId="0A95E35D" w14:textId="77777777" w:rsidR="00DE4C68" w:rsidRPr="00ED3141" w:rsidRDefault="00ED3141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</w:rPr>
      </w:pPr>
      <w:r w:rsidRPr="00ED3141">
        <w:rPr>
          <w:rFonts w:ascii="Arial" w:eastAsia="Times New Roman" w:hAnsi="Arial" w:cs="Arial"/>
          <w:b/>
          <w:bCs/>
          <w:color w:val="222222"/>
        </w:rPr>
        <w:t>Double Bond Equivalent (</w:t>
      </w:r>
      <w:r w:rsidR="00DE4C68" w:rsidRPr="00ED3141">
        <w:rPr>
          <w:rFonts w:ascii="Arial" w:eastAsia="Times New Roman" w:hAnsi="Arial" w:cs="Arial"/>
          <w:b/>
          <w:bCs/>
          <w:color w:val="222222"/>
        </w:rPr>
        <w:t>DBE</w:t>
      </w:r>
      <w:r w:rsidRPr="00ED3141">
        <w:rPr>
          <w:rFonts w:ascii="Arial" w:eastAsia="Times New Roman" w:hAnsi="Arial" w:cs="Arial"/>
          <w:b/>
          <w:bCs/>
          <w:color w:val="222222"/>
        </w:rPr>
        <w:t>)</w:t>
      </w:r>
      <w:r w:rsidR="00DE4C68" w:rsidRPr="00ED3141">
        <w:rPr>
          <w:rFonts w:ascii="Arial" w:eastAsia="Times New Roman" w:hAnsi="Arial" w:cs="Arial"/>
          <w:b/>
          <w:bCs/>
          <w:color w:val="222222"/>
        </w:rPr>
        <w:t>:</w:t>
      </w:r>
    </w:p>
    <w:p w14:paraId="33402833" w14:textId="4D64FBA3" w:rsidR="00DE4C68" w:rsidRPr="00ED3141" w:rsidRDefault="008D1C56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</w:t>
      </w:r>
      <w:r w:rsidR="00DE4C68" w:rsidRPr="00ED3141">
        <w:rPr>
          <w:rFonts w:ascii="Arial" w:eastAsia="Times New Roman" w:hAnsi="Arial" w:cs="Arial"/>
          <w:color w:val="222222"/>
        </w:rPr>
        <w:t>lso known as the degree of unsaturation. Calculated as:</w:t>
      </w:r>
    </w:p>
    <w:p w14:paraId="44ABB3E7" w14:textId="77777777" w:rsidR="00ED3141" w:rsidRPr="00ED3141" w:rsidRDefault="00ED3141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</w:rPr>
      </w:pPr>
    </w:p>
    <w:p w14:paraId="3F52F5F5" w14:textId="0A218EB8" w:rsidR="003C2B4F" w:rsidRPr="00ED3141" w:rsidRDefault="003C2B4F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ED3141">
        <w:rPr>
          <w:rFonts w:ascii="Arial" w:eastAsia="Times New Roman" w:hAnsi="Arial" w:cs="Arial"/>
          <w:noProof/>
          <w:color w:val="222222"/>
          <w:bdr w:val="none" w:sz="0" w:space="0" w:color="auto" w:frame="1"/>
        </w:rPr>
        <w:drawing>
          <wp:inline distT="0" distB="0" distL="0" distR="0" wp14:anchorId="617BCD74" wp14:editId="6585D2A6">
            <wp:extent cx="3797300" cy="39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EE9A" w14:textId="77777777" w:rsidR="00ED3141" w:rsidRPr="00ED3141" w:rsidRDefault="00ED3141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  <w:bdr w:val="none" w:sz="0" w:space="0" w:color="auto" w:frame="1"/>
        </w:rPr>
      </w:pPr>
    </w:p>
    <w:p w14:paraId="199D5CA0" w14:textId="37B2A617" w:rsidR="00ED3141" w:rsidRPr="00ED3141" w:rsidRDefault="00372160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  <w:bdr w:val="none" w:sz="0" w:space="0" w:color="auto" w:frame="1"/>
        </w:rPr>
      </w:pPr>
      <w:hyperlink r:id="rId12" w:history="1">
        <w:r w:rsidR="00DE4C68" w:rsidRPr="00ED3141">
          <w:rPr>
            <w:rFonts w:ascii="Arial" w:eastAsia="Times New Roman" w:hAnsi="Arial" w:cs="Arial"/>
            <w:color w:val="008CBA"/>
            <w:u w:val="single"/>
          </w:rPr>
          <w:t>Koch &amp; Dittmar, 2006</w:t>
        </w:r>
      </w:hyperlink>
      <w:r w:rsidR="00E634BC">
        <w:rPr>
          <w:rFonts w:ascii="Arial" w:eastAsia="Times New Roman" w:hAnsi="Arial" w:cs="Arial"/>
          <w:color w:val="222222"/>
          <w:bdr w:val="none" w:sz="0" w:space="0" w:color="auto" w:frame="1"/>
          <w:vertAlign w:val="superscript"/>
        </w:rPr>
        <w:t>2</w:t>
      </w:r>
      <w:r w:rsidR="00DE4C68" w:rsidRPr="00ED3141">
        <w:rPr>
          <w:rFonts w:ascii="Arial" w:eastAsia="Times New Roman" w:hAnsi="Arial" w:cs="Arial"/>
          <w:color w:val="222222"/>
        </w:rPr>
        <w:t> </w:t>
      </w:r>
      <w:hyperlink r:id="rId13" w:history="1">
        <w:r w:rsidR="00DE4C68" w:rsidRPr="00ED3141">
          <w:rPr>
            <w:rFonts w:ascii="Arial" w:eastAsia="Times New Roman" w:hAnsi="Arial" w:cs="Arial"/>
            <w:color w:val="008CBA"/>
            <w:u w:val="single"/>
          </w:rPr>
          <w:t>Erratum</w:t>
        </w:r>
      </w:hyperlink>
      <w:r w:rsidR="00E634BC">
        <w:rPr>
          <w:rFonts w:ascii="Arial" w:eastAsia="Times New Roman" w:hAnsi="Arial" w:cs="Arial"/>
          <w:color w:val="222222"/>
          <w:bdr w:val="none" w:sz="0" w:space="0" w:color="auto" w:frame="1"/>
          <w:vertAlign w:val="superscript"/>
        </w:rPr>
        <w:t>3</w:t>
      </w:r>
    </w:p>
    <w:p w14:paraId="79F2FE0F" w14:textId="77777777" w:rsidR="00ED3141" w:rsidRPr="00ED3141" w:rsidRDefault="00ED3141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</w:rPr>
      </w:pPr>
    </w:p>
    <w:p w14:paraId="44F72F2E" w14:textId="408E4EDB" w:rsidR="00DE4C68" w:rsidRPr="00ED3141" w:rsidRDefault="003D3DC9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</w:rPr>
      </w:pPr>
      <w:r w:rsidRPr="00ED3141">
        <w:rPr>
          <w:rFonts w:ascii="Arial" w:eastAsia="Times New Roman" w:hAnsi="Arial" w:cs="Arial"/>
          <w:b/>
          <w:bCs/>
          <w:color w:val="222222"/>
        </w:rPr>
        <w:t xml:space="preserve">Double Bond Equivalent </w:t>
      </w:r>
      <w:r>
        <w:rPr>
          <w:rFonts w:ascii="Arial" w:eastAsia="Times New Roman" w:hAnsi="Arial" w:cs="Arial"/>
          <w:b/>
          <w:bCs/>
          <w:color w:val="222222"/>
        </w:rPr>
        <w:t>minus Oxygen (</w:t>
      </w:r>
      <w:r w:rsidR="00DE4C68" w:rsidRPr="00ED3141">
        <w:rPr>
          <w:rFonts w:ascii="Arial" w:eastAsia="Times New Roman" w:hAnsi="Arial" w:cs="Arial"/>
          <w:b/>
          <w:bCs/>
          <w:color w:val="222222"/>
        </w:rPr>
        <w:t>DBE</w:t>
      </w:r>
      <w:r w:rsidR="00DE46AD">
        <w:rPr>
          <w:rFonts w:ascii="Arial" w:eastAsia="Times New Roman" w:hAnsi="Arial" w:cs="Arial"/>
          <w:b/>
          <w:bCs/>
          <w:color w:val="222222"/>
        </w:rPr>
        <w:t>_</w:t>
      </w:r>
      <w:r w:rsidR="00DE4C68" w:rsidRPr="00ED3141">
        <w:rPr>
          <w:rFonts w:ascii="Arial" w:eastAsia="Times New Roman" w:hAnsi="Arial" w:cs="Arial"/>
          <w:b/>
          <w:bCs/>
          <w:color w:val="222222"/>
        </w:rPr>
        <w:t>O</w:t>
      </w:r>
      <w:r>
        <w:rPr>
          <w:rFonts w:ascii="Arial" w:eastAsia="Times New Roman" w:hAnsi="Arial" w:cs="Arial"/>
          <w:b/>
          <w:bCs/>
          <w:color w:val="222222"/>
        </w:rPr>
        <w:t>)</w:t>
      </w:r>
      <w:r w:rsidR="00DE4C68" w:rsidRPr="00ED3141">
        <w:rPr>
          <w:rFonts w:ascii="Arial" w:eastAsia="Times New Roman" w:hAnsi="Arial" w:cs="Arial"/>
          <w:b/>
          <w:bCs/>
          <w:color w:val="222222"/>
        </w:rPr>
        <w:t>:</w:t>
      </w:r>
    </w:p>
    <w:p w14:paraId="59D9D55F" w14:textId="15E9272B" w:rsidR="003C2B4F" w:rsidRPr="00ED3141" w:rsidRDefault="008D1C56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</w:rPr>
        <w:t>An</w:t>
      </w:r>
      <w:r w:rsidR="00DE4C68" w:rsidRPr="00ED3141">
        <w:rPr>
          <w:rFonts w:ascii="Arial" w:eastAsia="Times New Roman" w:hAnsi="Arial" w:cs="Arial"/>
          <w:color w:val="222222"/>
        </w:rPr>
        <w:t xml:space="preserve"> alternative way of calculating DBE. Calculated as: </w:t>
      </w:r>
    </w:p>
    <w:p w14:paraId="14DB794D" w14:textId="220A67E8" w:rsidR="003C2B4F" w:rsidRPr="00ED3141" w:rsidRDefault="003C2B4F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ED3141">
        <w:rPr>
          <w:rFonts w:ascii="Arial" w:eastAsia="Times New Roman" w:hAnsi="Arial" w:cs="Arial"/>
          <w:noProof/>
          <w:color w:val="222222"/>
          <w:bdr w:val="none" w:sz="0" w:space="0" w:color="auto" w:frame="1"/>
        </w:rPr>
        <w:drawing>
          <wp:inline distT="0" distB="0" distL="0" distR="0" wp14:anchorId="59EF1FA4" wp14:editId="459DC1A7">
            <wp:extent cx="4305300" cy="46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0095" w14:textId="77777777" w:rsidR="00ED3141" w:rsidRPr="00ED3141" w:rsidRDefault="00ED3141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  <w:bdr w:val="none" w:sz="0" w:space="0" w:color="auto" w:frame="1"/>
        </w:rPr>
      </w:pPr>
    </w:p>
    <w:p w14:paraId="42C94601" w14:textId="6607389F" w:rsidR="00DE4C68" w:rsidRPr="00ED3141" w:rsidRDefault="00372160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  <w:bdr w:val="none" w:sz="0" w:space="0" w:color="auto" w:frame="1"/>
        </w:rPr>
      </w:pPr>
      <w:hyperlink r:id="rId15" w:history="1">
        <w:r w:rsidR="00DE4C68" w:rsidRPr="00ED3141">
          <w:rPr>
            <w:rFonts w:ascii="Arial" w:eastAsia="Times New Roman" w:hAnsi="Arial" w:cs="Arial"/>
            <w:color w:val="008CBA"/>
            <w:u w:val="single"/>
          </w:rPr>
          <w:t>Koch &amp; Dittmar, 2006</w:t>
        </w:r>
      </w:hyperlink>
      <w:r w:rsidR="00E634BC">
        <w:rPr>
          <w:rFonts w:ascii="Arial" w:eastAsia="Times New Roman" w:hAnsi="Arial" w:cs="Arial"/>
          <w:color w:val="222222"/>
          <w:bdr w:val="none" w:sz="0" w:space="0" w:color="auto" w:frame="1"/>
          <w:vertAlign w:val="superscript"/>
        </w:rPr>
        <w:t>2</w:t>
      </w:r>
      <w:r w:rsidR="00DE4C68" w:rsidRPr="00ED3141">
        <w:rPr>
          <w:rFonts w:ascii="Arial" w:eastAsia="Times New Roman" w:hAnsi="Arial" w:cs="Arial"/>
          <w:color w:val="222222"/>
        </w:rPr>
        <w:t> </w:t>
      </w:r>
      <w:hyperlink r:id="rId16" w:history="1">
        <w:r w:rsidR="00DE4C68" w:rsidRPr="00ED3141">
          <w:rPr>
            <w:rFonts w:ascii="Arial" w:eastAsia="Times New Roman" w:hAnsi="Arial" w:cs="Arial"/>
            <w:color w:val="008CBA"/>
            <w:u w:val="single"/>
          </w:rPr>
          <w:t>Erratum</w:t>
        </w:r>
      </w:hyperlink>
      <w:r w:rsidR="00E634BC">
        <w:rPr>
          <w:rFonts w:ascii="Arial" w:eastAsia="Times New Roman" w:hAnsi="Arial" w:cs="Arial"/>
          <w:color w:val="222222"/>
          <w:bdr w:val="none" w:sz="0" w:space="0" w:color="auto" w:frame="1"/>
          <w:vertAlign w:val="superscript"/>
        </w:rPr>
        <w:t>3</w:t>
      </w:r>
    </w:p>
    <w:p w14:paraId="1032F4ED" w14:textId="0DEADB6D" w:rsidR="00ED3141" w:rsidRPr="00ED3141" w:rsidRDefault="00ED3141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  <w:bdr w:val="none" w:sz="0" w:space="0" w:color="auto" w:frame="1"/>
        </w:rPr>
      </w:pPr>
    </w:p>
    <w:p w14:paraId="7C76A682" w14:textId="77859082" w:rsidR="00ED3141" w:rsidRPr="00ED3141" w:rsidRDefault="008D1C56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>Nominal Oxidation State of Carbon (</w:t>
      </w:r>
      <w:r w:rsidR="00ED3141" w:rsidRPr="00ED3141">
        <w:rPr>
          <w:rFonts w:ascii="Arial" w:eastAsia="Times New Roman" w:hAnsi="Arial" w:cs="Arial"/>
          <w:b/>
          <w:bCs/>
          <w:color w:val="222222"/>
        </w:rPr>
        <w:t>NOSC</w:t>
      </w:r>
      <w:r>
        <w:rPr>
          <w:rFonts w:ascii="Arial" w:eastAsia="Times New Roman" w:hAnsi="Arial" w:cs="Arial"/>
          <w:b/>
          <w:bCs/>
          <w:color w:val="222222"/>
        </w:rPr>
        <w:t>)</w:t>
      </w:r>
      <w:r w:rsidR="00ED3141" w:rsidRPr="008D1C56">
        <w:rPr>
          <w:rFonts w:ascii="Arial" w:eastAsia="Times New Roman" w:hAnsi="Arial" w:cs="Arial"/>
          <w:b/>
          <w:bCs/>
          <w:color w:val="222222"/>
        </w:rPr>
        <w:t>:</w:t>
      </w:r>
    </w:p>
    <w:p w14:paraId="6EDEBD10" w14:textId="5A05C668" w:rsidR="00ED3141" w:rsidRPr="00ED3141" w:rsidRDefault="00ED3141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</w:rPr>
      </w:pPr>
      <w:r w:rsidRPr="00ED3141">
        <w:rPr>
          <w:rFonts w:ascii="Arial" w:eastAsia="Times New Roman" w:hAnsi="Arial" w:cs="Arial"/>
          <w:color w:val="222222"/>
        </w:rPr>
        <w:t>Calculated as:</w:t>
      </w:r>
    </w:p>
    <w:p w14:paraId="7208081E" w14:textId="77777777" w:rsidR="00ED3141" w:rsidRPr="00ED3141" w:rsidRDefault="00ED3141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</w:rPr>
      </w:pPr>
      <w:r w:rsidRPr="00ED3141">
        <w:rPr>
          <w:rFonts w:ascii="Arial" w:eastAsia="Times New Roman" w:hAnsi="Arial" w:cs="Arial"/>
          <w:color w:val="222222"/>
        </w:rPr>
        <w:lastRenderedPageBreak/>
        <w:t> </w:t>
      </w:r>
      <w:r w:rsidRPr="00ED3141">
        <w:rPr>
          <w:rFonts w:ascii="Arial" w:eastAsia="Times New Roman" w:hAnsi="Arial" w:cs="Arial"/>
          <w:noProof/>
          <w:color w:val="222222"/>
          <w:bdr w:val="none" w:sz="0" w:space="0" w:color="auto" w:frame="1"/>
        </w:rPr>
        <w:drawing>
          <wp:inline distT="0" distB="0" distL="0" distR="0" wp14:anchorId="77EF1D04" wp14:editId="2B391DC9">
            <wp:extent cx="2743200" cy="67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A856" w14:textId="0614370A" w:rsidR="00ED3141" w:rsidRPr="00ED3141" w:rsidRDefault="00372160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</w:rPr>
      </w:pPr>
      <w:hyperlink r:id="rId18" w:history="1">
        <w:r w:rsidR="00ED3141" w:rsidRPr="00ED3141">
          <w:rPr>
            <w:rFonts w:ascii="Arial" w:eastAsia="Times New Roman" w:hAnsi="Arial" w:cs="Arial"/>
            <w:color w:val="008CBA"/>
            <w:u w:val="single"/>
          </w:rPr>
          <w:t>Koch &amp; Dittmar, 2006</w:t>
        </w:r>
      </w:hyperlink>
      <w:r w:rsidR="00E634BC">
        <w:rPr>
          <w:rFonts w:ascii="Arial" w:eastAsia="Times New Roman" w:hAnsi="Arial" w:cs="Arial"/>
          <w:color w:val="222222"/>
          <w:bdr w:val="none" w:sz="0" w:space="0" w:color="auto" w:frame="1"/>
          <w:vertAlign w:val="superscript"/>
        </w:rPr>
        <w:t>2</w:t>
      </w:r>
      <w:r w:rsidR="00ED3141" w:rsidRPr="00ED3141">
        <w:rPr>
          <w:rFonts w:ascii="Arial" w:eastAsia="Times New Roman" w:hAnsi="Arial" w:cs="Arial"/>
          <w:color w:val="222222"/>
        </w:rPr>
        <w:t> </w:t>
      </w:r>
      <w:hyperlink r:id="rId19" w:history="1">
        <w:r w:rsidR="00ED3141" w:rsidRPr="00ED3141">
          <w:rPr>
            <w:rFonts w:ascii="Arial" w:eastAsia="Times New Roman" w:hAnsi="Arial" w:cs="Arial"/>
            <w:color w:val="008CBA"/>
            <w:u w:val="single"/>
          </w:rPr>
          <w:t>Erratum</w:t>
        </w:r>
      </w:hyperlink>
      <w:r w:rsidR="00E634BC">
        <w:rPr>
          <w:rFonts w:ascii="Arial" w:eastAsia="Times New Roman" w:hAnsi="Arial" w:cs="Arial"/>
          <w:color w:val="222222"/>
          <w:bdr w:val="none" w:sz="0" w:space="0" w:color="auto" w:frame="1"/>
          <w:vertAlign w:val="superscript"/>
        </w:rPr>
        <w:t>3</w:t>
      </w:r>
    </w:p>
    <w:p w14:paraId="3E8F75B2" w14:textId="77777777" w:rsidR="00DE4C68" w:rsidRPr="00ED3141" w:rsidRDefault="00DE4C68" w:rsidP="00ED3141">
      <w:pPr>
        <w:jc w:val="both"/>
        <w:rPr>
          <w:rFonts w:ascii="Arial" w:eastAsia="Times New Roman" w:hAnsi="Arial" w:cs="Arial"/>
        </w:rPr>
      </w:pPr>
    </w:p>
    <w:p w14:paraId="20A305A2" w14:textId="77777777" w:rsidR="00DE4C68" w:rsidRPr="00ED3141" w:rsidRDefault="00DE4C68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</w:rPr>
      </w:pPr>
      <w:r w:rsidRPr="00ED3141">
        <w:rPr>
          <w:rFonts w:ascii="Arial" w:eastAsia="Times New Roman" w:hAnsi="Arial" w:cs="Arial"/>
          <w:b/>
          <w:bCs/>
          <w:color w:val="222222"/>
        </w:rPr>
        <w:t>Gibbs Free Energy</w:t>
      </w:r>
      <w:r w:rsidR="00ED3141" w:rsidRPr="00ED3141">
        <w:rPr>
          <w:rFonts w:ascii="Arial" w:eastAsia="Times New Roman" w:hAnsi="Arial" w:cs="Arial"/>
          <w:b/>
          <w:bCs/>
          <w:color w:val="222222"/>
        </w:rPr>
        <w:t xml:space="preserve"> (GFE or Gibbs)</w:t>
      </w:r>
      <w:r w:rsidRPr="00ED3141">
        <w:rPr>
          <w:rFonts w:ascii="Arial" w:eastAsia="Times New Roman" w:hAnsi="Arial" w:cs="Arial"/>
          <w:b/>
          <w:bCs/>
          <w:color w:val="222222"/>
        </w:rPr>
        <w:t>:</w:t>
      </w:r>
    </w:p>
    <w:p w14:paraId="2BBE56E5" w14:textId="6C7DA4C5" w:rsidR="00DE4C68" w:rsidRPr="00ED3141" w:rsidRDefault="00DE4C68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ED3141">
        <w:rPr>
          <w:rFonts w:ascii="Arial" w:eastAsia="Times New Roman" w:hAnsi="Arial" w:cs="Arial"/>
          <w:color w:val="222222"/>
        </w:rPr>
        <w:t>Cox Gibbs Free Energy. Calculated as: </w:t>
      </w:r>
      <w:r w:rsidRPr="00ED3141">
        <w:rPr>
          <w:rFonts w:ascii="Arial" w:eastAsia="Times New Roman" w:hAnsi="Arial" w:cs="Arial"/>
          <w:color w:val="222222"/>
          <w:bdr w:val="none" w:sz="0" w:space="0" w:color="auto" w:frame="1"/>
        </w:rPr>
        <w:t>60.3−28.5</w:t>
      </w:r>
      <w:r w:rsidRPr="00ED3141">
        <w:rPr>
          <w:rFonts w:ascii="Cambria Math" w:eastAsia="Times New Roman" w:hAnsi="Cambria Math" w:cs="Cambria Math"/>
          <w:color w:val="222222"/>
          <w:bdr w:val="none" w:sz="0" w:space="0" w:color="auto" w:frame="1"/>
        </w:rPr>
        <w:t>∗</w:t>
      </w:r>
      <w:r w:rsidRPr="00ED3141">
        <w:rPr>
          <w:rFonts w:ascii="Arial" w:eastAsia="Times New Roman" w:hAnsi="Arial" w:cs="Arial"/>
          <w:color w:val="222222"/>
          <w:bdr w:val="none" w:sz="0" w:space="0" w:color="auto" w:frame="1"/>
        </w:rPr>
        <w:t>NOSC</w:t>
      </w:r>
      <w:r w:rsidR="00A56DEE" w:rsidRPr="00ED3141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r w:rsidR="00A56DEE" w:rsidRPr="00ED3141">
        <w:rPr>
          <w:rFonts w:ascii="Arial" w:eastAsia="Times New Roman" w:hAnsi="Arial" w:cs="Arial"/>
          <w:color w:val="222222"/>
        </w:rPr>
        <w:t xml:space="preserve"> </w:t>
      </w:r>
      <w:hyperlink r:id="rId20" w:history="1">
        <w:proofErr w:type="spellStart"/>
        <w:r w:rsidRPr="00ED3141">
          <w:rPr>
            <w:rFonts w:ascii="Arial" w:eastAsia="Times New Roman" w:hAnsi="Arial" w:cs="Arial"/>
            <w:color w:val="008CBA"/>
            <w:u w:val="single"/>
          </w:rPr>
          <w:t>LaRowe</w:t>
        </w:r>
        <w:proofErr w:type="spellEnd"/>
        <w:r w:rsidRPr="00ED3141">
          <w:rPr>
            <w:rFonts w:ascii="Arial" w:eastAsia="Times New Roman" w:hAnsi="Arial" w:cs="Arial"/>
            <w:color w:val="008CBA"/>
            <w:u w:val="single"/>
          </w:rPr>
          <w:t xml:space="preserve"> &amp; Van </w:t>
        </w:r>
        <w:proofErr w:type="spellStart"/>
        <w:r w:rsidRPr="00ED3141">
          <w:rPr>
            <w:rFonts w:ascii="Arial" w:eastAsia="Times New Roman" w:hAnsi="Arial" w:cs="Arial"/>
            <w:color w:val="008CBA"/>
            <w:u w:val="single"/>
          </w:rPr>
          <w:t>Cappellen</w:t>
        </w:r>
        <w:proofErr w:type="spellEnd"/>
        <w:r w:rsidRPr="00ED3141">
          <w:rPr>
            <w:rFonts w:ascii="Arial" w:eastAsia="Times New Roman" w:hAnsi="Arial" w:cs="Arial"/>
            <w:color w:val="008CBA"/>
            <w:u w:val="single"/>
          </w:rPr>
          <w:t>, 2011</w:t>
        </w:r>
      </w:hyperlink>
      <w:bookmarkStart w:id="0" w:name="H"/>
      <w:bookmarkEnd w:id="0"/>
      <w:r w:rsidR="0008704C">
        <w:rPr>
          <w:rFonts w:ascii="Arial" w:eastAsia="Times New Roman" w:hAnsi="Arial" w:cs="Arial"/>
          <w:color w:val="222222"/>
          <w:bdr w:val="none" w:sz="0" w:space="0" w:color="auto" w:frame="1"/>
          <w:vertAlign w:val="superscript"/>
        </w:rPr>
        <w:t>4</w:t>
      </w:r>
    </w:p>
    <w:p w14:paraId="5BAF3A19" w14:textId="77777777" w:rsidR="00ED3141" w:rsidRPr="00ED3141" w:rsidRDefault="00ED3141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</w:rPr>
      </w:pPr>
    </w:p>
    <w:p w14:paraId="4018540D" w14:textId="7B956DFE" w:rsidR="00DE4C68" w:rsidRPr="00ED3141" w:rsidRDefault="00DE4C68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</w:rPr>
      </w:pPr>
      <w:r w:rsidRPr="00ED3141">
        <w:rPr>
          <w:rFonts w:ascii="Arial" w:eastAsia="Times New Roman" w:hAnsi="Arial" w:cs="Arial"/>
          <w:b/>
          <w:bCs/>
          <w:color w:val="222222"/>
        </w:rPr>
        <w:t>Kendrick Defect</w:t>
      </w:r>
      <w:r w:rsidR="00ED3141" w:rsidRPr="00ED3141">
        <w:rPr>
          <w:rFonts w:ascii="Arial" w:eastAsia="Times New Roman" w:hAnsi="Arial" w:cs="Arial"/>
          <w:b/>
          <w:bCs/>
          <w:color w:val="222222"/>
        </w:rPr>
        <w:t xml:space="preserve"> (</w:t>
      </w:r>
      <w:proofErr w:type="spellStart"/>
      <w:r w:rsidR="003D3DC9">
        <w:rPr>
          <w:rFonts w:ascii="Arial" w:eastAsia="Times New Roman" w:hAnsi="Arial" w:cs="Arial"/>
          <w:b/>
          <w:bCs/>
          <w:color w:val="222222"/>
        </w:rPr>
        <w:t>kdefect</w:t>
      </w:r>
      <w:proofErr w:type="spellEnd"/>
      <w:r w:rsidR="003D3DC9">
        <w:rPr>
          <w:rFonts w:ascii="Arial" w:eastAsia="Times New Roman" w:hAnsi="Arial" w:cs="Arial"/>
          <w:b/>
          <w:bCs/>
          <w:color w:val="222222"/>
        </w:rPr>
        <w:t xml:space="preserve"> or </w:t>
      </w:r>
      <w:proofErr w:type="spellStart"/>
      <w:r w:rsidR="00ED3141" w:rsidRPr="00ED3141">
        <w:rPr>
          <w:rFonts w:ascii="Arial" w:eastAsia="Times New Roman" w:hAnsi="Arial" w:cs="Arial"/>
          <w:b/>
          <w:bCs/>
          <w:color w:val="222222"/>
        </w:rPr>
        <w:t>KenDef</w:t>
      </w:r>
      <w:proofErr w:type="spellEnd"/>
      <w:r w:rsidR="00ED3141" w:rsidRPr="00ED3141">
        <w:rPr>
          <w:rFonts w:ascii="Arial" w:eastAsia="Times New Roman" w:hAnsi="Arial" w:cs="Arial"/>
          <w:b/>
          <w:bCs/>
          <w:color w:val="222222"/>
        </w:rPr>
        <w:t>)</w:t>
      </w:r>
      <w:r w:rsidRPr="00ED3141">
        <w:rPr>
          <w:rFonts w:ascii="Arial" w:eastAsia="Times New Roman" w:hAnsi="Arial" w:cs="Arial"/>
          <w:b/>
          <w:bCs/>
          <w:color w:val="222222"/>
        </w:rPr>
        <w:t>:</w:t>
      </w:r>
    </w:p>
    <w:p w14:paraId="167E1AC6" w14:textId="1370EAA2" w:rsidR="00ED3141" w:rsidRPr="00ED3141" w:rsidRDefault="00DE4C68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ED3141">
        <w:rPr>
          <w:rFonts w:ascii="Arial" w:eastAsia="Times New Roman" w:hAnsi="Arial" w:cs="Arial"/>
          <w:color w:val="222222"/>
        </w:rPr>
        <w:t>Kendrick Defect = Nominal Kendrick Mass - Kendrick Mass </w:t>
      </w:r>
      <w:hyperlink r:id="rId21" w:history="1">
        <w:r w:rsidRPr="00ED3141">
          <w:rPr>
            <w:rFonts w:ascii="Arial" w:eastAsia="Times New Roman" w:hAnsi="Arial" w:cs="Arial"/>
            <w:color w:val="008CBA"/>
            <w:u w:val="single"/>
          </w:rPr>
          <w:t>Hughey et al., 2001</w:t>
        </w:r>
      </w:hyperlink>
      <w:r w:rsidR="0008704C">
        <w:rPr>
          <w:rFonts w:ascii="Arial" w:eastAsia="Times New Roman" w:hAnsi="Arial" w:cs="Arial"/>
          <w:color w:val="222222"/>
          <w:bdr w:val="none" w:sz="0" w:space="0" w:color="auto" w:frame="1"/>
          <w:vertAlign w:val="superscript"/>
        </w:rPr>
        <w:t>5</w:t>
      </w:r>
    </w:p>
    <w:p w14:paraId="0A754BA6" w14:textId="77777777" w:rsidR="00ED3141" w:rsidRPr="00ED3141" w:rsidRDefault="00ED3141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</w:rPr>
      </w:pPr>
    </w:p>
    <w:p w14:paraId="4CF22D28" w14:textId="2BDCA288" w:rsidR="00ED3141" w:rsidRPr="00ED3141" w:rsidRDefault="00DE4C68" w:rsidP="00ED3141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</w:rPr>
      </w:pPr>
      <w:r w:rsidRPr="00ED3141">
        <w:rPr>
          <w:rFonts w:ascii="Arial" w:eastAsia="Times New Roman" w:hAnsi="Arial" w:cs="Arial"/>
          <w:b/>
          <w:bCs/>
          <w:color w:val="222222"/>
        </w:rPr>
        <w:t>Kendrick Mass</w:t>
      </w:r>
      <w:r w:rsidR="00ED3141" w:rsidRPr="00ED3141">
        <w:rPr>
          <w:rFonts w:ascii="Arial" w:eastAsia="Times New Roman" w:hAnsi="Arial" w:cs="Arial"/>
          <w:b/>
          <w:bCs/>
          <w:color w:val="222222"/>
        </w:rPr>
        <w:t xml:space="preserve"> (</w:t>
      </w:r>
      <w:proofErr w:type="spellStart"/>
      <w:r w:rsidR="003D3DC9">
        <w:rPr>
          <w:rFonts w:ascii="Arial" w:eastAsia="Times New Roman" w:hAnsi="Arial" w:cs="Arial"/>
          <w:b/>
          <w:bCs/>
          <w:color w:val="222222"/>
        </w:rPr>
        <w:t>kmass</w:t>
      </w:r>
      <w:proofErr w:type="spellEnd"/>
      <w:r w:rsidR="003D3DC9">
        <w:rPr>
          <w:rFonts w:ascii="Arial" w:eastAsia="Times New Roman" w:hAnsi="Arial" w:cs="Arial"/>
          <w:b/>
          <w:bCs/>
          <w:color w:val="222222"/>
        </w:rPr>
        <w:t xml:space="preserve"> or </w:t>
      </w:r>
      <w:proofErr w:type="spellStart"/>
      <w:r w:rsidR="00ED3141" w:rsidRPr="00ED3141">
        <w:rPr>
          <w:rFonts w:ascii="Arial" w:eastAsia="Times New Roman" w:hAnsi="Arial" w:cs="Arial"/>
          <w:b/>
          <w:bCs/>
          <w:color w:val="222222"/>
        </w:rPr>
        <w:t>KenMass</w:t>
      </w:r>
      <w:proofErr w:type="spellEnd"/>
      <w:r w:rsidR="00ED3141" w:rsidRPr="00ED3141">
        <w:rPr>
          <w:rFonts w:ascii="Arial" w:eastAsia="Times New Roman" w:hAnsi="Arial" w:cs="Arial"/>
          <w:b/>
          <w:bCs/>
          <w:color w:val="222222"/>
        </w:rPr>
        <w:t>)</w:t>
      </w:r>
      <w:r w:rsidRPr="00ED3141">
        <w:rPr>
          <w:rFonts w:ascii="Arial" w:eastAsia="Times New Roman" w:hAnsi="Arial" w:cs="Arial"/>
          <w:b/>
          <w:bCs/>
          <w:color w:val="222222"/>
        </w:rPr>
        <w:t>:</w:t>
      </w:r>
    </w:p>
    <w:p w14:paraId="10E3DBD3" w14:textId="2C6404CD" w:rsidR="00DE4C68" w:rsidRPr="00ED3141" w:rsidRDefault="00DE4C68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 w:rsidRPr="00372160">
        <w:rPr>
          <w:rFonts w:ascii="Arial" w:eastAsia="Times New Roman" w:hAnsi="Arial" w:cs="Arial"/>
          <w:i/>
          <w:iCs/>
          <w:color w:val="222222"/>
          <w:bdr w:val="none" w:sz="0" w:space="0" w:color="auto" w:frame="1"/>
        </w:rPr>
        <w:t>IUPACmass</w:t>
      </w:r>
      <w:proofErr w:type="spellEnd"/>
      <w:r w:rsidRPr="00372160">
        <w:rPr>
          <w:rFonts w:ascii="Cambria Math" w:eastAsia="Times New Roman" w:hAnsi="Cambria Math" w:cs="Cambria Math"/>
          <w:i/>
          <w:iCs/>
          <w:color w:val="222222"/>
          <w:bdr w:val="none" w:sz="0" w:space="0" w:color="auto" w:frame="1"/>
        </w:rPr>
        <w:t>∗</w:t>
      </w:r>
      <w:r w:rsidRPr="00372160">
        <w:rPr>
          <w:rFonts w:ascii="Arial" w:eastAsia="Times New Roman" w:hAnsi="Arial" w:cs="Arial"/>
          <w:i/>
          <w:iCs/>
          <w:color w:val="222222"/>
          <w:bdr w:val="none" w:sz="0" w:space="0" w:color="auto" w:frame="1"/>
        </w:rPr>
        <w:t>(14/14.01565)</w:t>
      </w:r>
      <w:r w:rsidRPr="00ED3141">
        <w:rPr>
          <w:rFonts w:ascii="Arial" w:eastAsia="Times New Roman" w:hAnsi="Arial" w:cs="Arial"/>
          <w:color w:val="222222"/>
        </w:rPr>
        <w:t>, where IUPAC m</w:t>
      </w:r>
      <w:bookmarkStart w:id="1" w:name="_GoBack"/>
      <w:bookmarkEnd w:id="1"/>
      <w:r w:rsidRPr="00ED3141">
        <w:rPr>
          <w:rFonts w:ascii="Arial" w:eastAsia="Times New Roman" w:hAnsi="Arial" w:cs="Arial"/>
          <w:color w:val="222222"/>
        </w:rPr>
        <w:t>ass is based on the 12C atomic mass as exactly 12 Da. </w:t>
      </w:r>
      <w:hyperlink r:id="rId22" w:history="1">
        <w:r w:rsidRPr="00ED3141">
          <w:rPr>
            <w:rFonts w:ascii="Arial" w:eastAsia="Times New Roman" w:hAnsi="Arial" w:cs="Arial"/>
            <w:color w:val="008CBA"/>
            <w:u w:val="single"/>
          </w:rPr>
          <w:t>Hughey et al., 2001</w:t>
        </w:r>
      </w:hyperlink>
      <w:r w:rsidR="0008704C">
        <w:rPr>
          <w:rFonts w:ascii="Arial" w:eastAsia="Times New Roman" w:hAnsi="Arial" w:cs="Arial"/>
          <w:color w:val="222222"/>
          <w:bdr w:val="none" w:sz="0" w:space="0" w:color="auto" w:frame="1"/>
          <w:vertAlign w:val="superscript"/>
        </w:rPr>
        <w:t>5</w:t>
      </w:r>
    </w:p>
    <w:p w14:paraId="58805522" w14:textId="241D0F60" w:rsidR="00ED3141" w:rsidRDefault="00ED3141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</w:rPr>
      </w:pPr>
    </w:p>
    <w:p w14:paraId="09E39618" w14:textId="7A3009FA" w:rsidR="0024621C" w:rsidRDefault="0024621C" w:rsidP="00ED3141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</w:rPr>
      </w:pPr>
      <w:r w:rsidRPr="0024621C">
        <w:rPr>
          <w:rFonts w:ascii="Arial" w:eastAsia="Times New Roman" w:hAnsi="Arial" w:cs="Arial"/>
          <w:b/>
          <w:bCs/>
          <w:color w:val="222222"/>
        </w:rPr>
        <w:t>Boundary Sets (bs1_class, bs2_class, and bs3_class)</w:t>
      </w:r>
    </w:p>
    <w:p w14:paraId="1FFBBCD9" w14:textId="30341EC3" w:rsidR="0024621C" w:rsidRPr="0008704C" w:rsidRDefault="00E634BC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  <w:vertAlign w:val="superscript"/>
        </w:rPr>
      </w:pPr>
      <w:r>
        <w:rPr>
          <w:rFonts w:ascii="Arial" w:eastAsia="Times New Roman" w:hAnsi="Arial" w:cs="Arial"/>
          <w:color w:val="222222"/>
        </w:rPr>
        <w:t xml:space="preserve">These are boundary sets which are used to assign compound classes to molecular formula. Boundary sets 1 and 2 are both Van </w:t>
      </w:r>
      <w:proofErr w:type="spellStart"/>
      <w:r>
        <w:rPr>
          <w:rFonts w:ascii="Arial" w:eastAsia="Times New Roman" w:hAnsi="Arial" w:cs="Arial"/>
          <w:color w:val="222222"/>
        </w:rPr>
        <w:t>Krevelen</w:t>
      </w:r>
      <w:proofErr w:type="spellEnd"/>
      <w:r>
        <w:rPr>
          <w:rFonts w:ascii="Arial" w:eastAsia="Times New Roman" w:hAnsi="Arial" w:cs="Arial"/>
          <w:color w:val="222222"/>
        </w:rPr>
        <w:t>-based (Kim et al., 2003 &amp; Bailey et al., 2017) while boundary set 3</w:t>
      </w:r>
      <w:r w:rsidR="00A72258">
        <w:rPr>
          <w:rFonts w:ascii="Arial" w:eastAsia="Times New Roman" w:hAnsi="Arial" w:cs="Arial"/>
          <w:color w:val="222222"/>
        </w:rPr>
        <w:t xml:space="preserve"> further integrates </w:t>
      </w:r>
      <w:r w:rsidR="0008704C">
        <w:rPr>
          <w:rFonts w:ascii="Arial" w:eastAsia="Times New Roman" w:hAnsi="Arial" w:cs="Arial"/>
          <w:color w:val="222222"/>
        </w:rPr>
        <w:t>stoichiometry to assign modified compound classes (Rivas-</w:t>
      </w:r>
      <w:proofErr w:type="spellStart"/>
      <w:r w:rsidR="0008704C">
        <w:rPr>
          <w:rFonts w:ascii="Arial" w:eastAsia="Times New Roman" w:hAnsi="Arial" w:cs="Arial"/>
          <w:color w:val="222222"/>
        </w:rPr>
        <w:t>Urbach</w:t>
      </w:r>
      <w:proofErr w:type="spellEnd"/>
      <w:r w:rsidR="0008704C">
        <w:rPr>
          <w:rFonts w:ascii="Arial" w:eastAsia="Times New Roman" w:hAnsi="Arial" w:cs="Arial"/>
          <w:color w:val="222222"/>
        </w:rPr>
        <w:t xml:space="preserve"> et al., 2018). </w:t>
      </w:r>
      <w:hyperlink r:id="rId23" w:history="1">
        <w:r w:rsidR="0008704C" w:rsidRPr="00372160">
          <w:rPr>
            <w:rStyle w:val="Hyperlink"/>
            <w:rFonts w:ascii="Arial" w:eastAsia="Times New Roman" w:hAnsi="Arial" w:cs="Arial"/>
            <w:color w:val="078DBA"/>
          </w:rPr>
          <w:t>Kim et al., 2003</w:t>
        </w:r>
      </w:hyperlink>
      <w:r w:rsidR="0008704C">
        <w:rPr>
          <w:rFonts w:ascii="Arial" w:eastAsia="Times New Roman" w:hAnsi="Arial" w:cs="Arial"/>
          <w:color w:val="222222"/>
          <w:vertAlign w:val="superscript"/>
        </w:rPr>
        <w:t>6</w:t>
      </w:r>
      <w:r w:rsidR="0008704C">
        <w:rPr>
          <w:rFonts w:ascii="Arial" w:eastAsia="Times New Roman" w:hAnsi="Arial" w:cs="Arial"/>
          <w:color w:val="222222"/>
        </w:rPr>
        <w:t xml:space="preserve"> </w:t>
      </w:r>
      <w:hyperlink r:id="rId24" w:history="1">
        <w:r w:rsidR="0008704C" w:rsidRPr="00372160">
          <w:rPr>
            <w:rStyle w:val="Hyperlink"/>
            <w:rFonts w:ascii="Arial" w:eastAsia="Times New Roman" w:hAnsi="Arial" w:cs="Arial"/>
            <w:color w:val="078DBA"/>
          </w:rPr>
          <w:t>Bailey et al., 2017</w:t>
        </w:r>
      </w:hyperlink>
      <w:r w:rsidR="0008704C">
        <w:rPr>
          <w:rFonts w:ascii="Arial" w:eastAsia="Times New Roman" w:hAnsi="Arial" w:cs="Arial"/>
          <w:color w:val="222222"/>
          <w:vertAlign w:val="superscript"/>
        </w:rPr>
        <w:t>7</w:t>
      </w:r>
      <w:r w:rsidR="0008704C">
        <w:rPr>
          <w:rFonts w:ascii="Arial" w:eastAsia="Times New Roman" w:hAnsi="Arial" w:cs="Arial"/>
          <w:color w:val="222222"/>
        </w:rPr>
        <w:t xml:space="preserve"> </w:t>
      </w:r>
      <w:hyperlink r:id="rId25" w:history="1">
        <w:r w:rsidR="0008704C" w:rsidRPr="00372160">
          <w:rPr>
            <w:rStyle w:val="Hyperlink"/>
            <w:rFonts w:ascii="Arial" w:eastAsia="Times New Roman" w:hAnsi="Arial" w:cs="Arial"/>
            <w:color w:val="078DBA"/>
          </w:rPr>
          <w:t>Rivas-</w:t>
        </w:r>
        <w:proofErr w:type="spellStart"/>
        <w:r w:rsidR="0008704C" w:rsidRPr="00372160">
          <w:rPr>
            <w:rStyle w:val="Hyperlink"/>
            <w:rFonts w:ascii="Arial" w:eastAsia="Times New Roman" w:hAnsi="Arial" w:cs="Arial"/>
            <w:color w:val="078DBA"/>
          </w:rPr>
          <w:t>Urbach</w:t>
        </w:r>
        <w:proofErr w:type="spellEnd"/>
        <w:r w:rsidR="0008704C" w:rsidRPr="00372160">
          <w:rPr>
            <w:rStyle w:val="Hyperlink"/>
            <w:rFonts w:ascii="Arial" w:eastAsia="Times New Roman" w:hAnsi="Arial" w:cs="Arial"/>
            <w:color w:val="078DBA"/>
          </w:rPr>
          <w:t xml:space="preserve"> et al., 2018</w:t>
        </w:r>
      </w:hyperlink>
      <w:r w:rsidR="0008704C">
        <w:rPr>
          <w:rFonts w:ascii="Arial" w:eastAsia="Times New Roman" w:hAnsi="Arial" w:cs="Arial"/>
          <w:color w:val="222222"/>
          <w:vertAlign w:val="superscript"/>
        </w:rPr>
        <w:t>8</w:t>
      </w:r>
    </w:p>
    <w:p w14:paraId="0CCB27F4" w14:textId="77777777" w:rsidR="0024621C" w:rsidRPr="00ED3141" w:rsidRDefault="0024621C" w:rsidP="00ED3141">
      <w:pPr>
        <w:shd w:val="clear" w:color="auto" w:fill="FFFFFF"/>
        <w:jc w:val="both"/>
        <w:rPr>
          <w:rFonts w:ascii="Arial" w:eastAsia="Times New Roman" w:hAnsi="Arial" w:cs="Arial"/>
          <w:color w:val="222222"/>
        </w:rPr>
      </w:pPr>
    </w:p>
    <w:p w14:paraId="70963D7B" w14:textId="4EC1939D" w:rsidR="00293B79" w:rsidRPr="00ED3141" w:rsidRDefault="00604913" w:rsidP="00293B79">
      <w:pPr>
        <w:shd w:val="clear" w:color="auto" w:fill="FFFFFF"/>
        <w:spacing w:after="120"/>
        <w:outlineLvl w:val="2"/>
        <w:rPr>
          <w:rFonts w:ascii="Arial" w:eastAsia="Times New Roman" w:hAnsi="Arial" w:cs="Arial"/>
          <w:color w:val="222222"/>
          <w:sz w:val="36"/>
          <w:szCs w:val="36"/>
        </w:rPr>
      </w:pPr>
      <w:bookmarkStart w:id="2" w:name="O"/>
      <w:bookmarkEnd w:id="2"/>
      <w:r w:rsidRPr="00ED3141">
        <w:rPr>
          <w:rFonts w:ascii="Arial" w:eastAsia="Times New Roman" w:hAnsi="Arial" w:cs="Arial"/>
          <w:color w:val="222222"/>
          <w:sz w:val="36"/>
          <w:szCs w:val="36"/>
        </w:rPr>
        <w:t>References and Resources</w:t>
      </w:r>
    </w:p>
    <w:p w14:paraId="0C40073C" w14:textId="48DB5922" w:rsidR="0024621C" w:rsidRDefault="0024621C" w:rsidP="00ED3141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 xml:space="preserve">1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>Tolić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 xml:space="preserve"> N., Liu Y.,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>Liyu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>A,.</w:t>
      </w:r>
      <w:proofErr w:type="gramEnd"/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 xml:space="preserve"> Shen Y.,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>Tfaily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 xml:space="preserve"> M.,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>Kujawinski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 xml:space="preserve"> E.,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>Longnecker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 xml:space="preserve"> K.,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>Kuo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 xml:space="preserve"> L., Robinson E.,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>Paša-Tolić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 xml:space="preserve"> L., Hess N. (2017) </w:t>
      </w:r>
      <w:proofErr w:type="spellStart"/>
      <w:r w:rsidRPr="0024621C"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>Formularity</w:t>
      </w:r>
      <w:proofErr w:type="spellEnd"/>
      <w:r w:rsidRPr="0024621C"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>: Software for Automated Formula Assignment of Natural and Other Organic Matter from Ultrahigh-Resolution Mass Spectra</w:t>
      </w:r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 xml:space="preserve">. Analytical Chemistry, 89(23), 12659-12665. </w:t>
      </w:r>
      <w:r w:rsidRPr="0024621C"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>DOI: 10.1021/acs.analchem.7b03318</w:t>
      </w:r>
    </w:p>
    <w:p w14:paraId="21F7379C" w14:textId="77777777" w:rsidR="0024621C" w:rsidRDefault="0024621C" w:rsidP="00ED3141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</w:pPr>
    </w:p>
    <w:p w14:paraId="2277BFFE" w14:textId="6FD1E81F" w:rsidR="00604913" w:rsidRDefault="0024621C" w:rsidP="00ED3141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>2</w:t>
      </w:r>
      <w:r w:rsidR="00604913" w:rsidRPr="00ED3141">
        <w:rPr>
          <w:rFonts w:ascii="Arial" w:eastAsia="Times New Roman" w:hAnsi="Arial" w:cs="Arial"/>
          <w:color w:val="222222"/>
          <w:sz w:val="22"/>
          <w:szCs w:val="22"/>
        </w:rPr>
        <w:t> Koch, B. P., &amp; Dittmar, T. (2006). From mass to structure: an aromaticity index for high</w:t>
      </w:r>
      <w:r w:rsidR="00604913" w:rsidRPr="00ED3141">
        <w:rPr>
          <w:rFonts w:ascii="Cambria Math" w:eastAsia="Times New Roman" w:hAnsi="Cambria Math" w:cs="Cambria Math"/>
          <w:color w:val="222222"/>
          <w:sz w:val="22"/>
          <w:szCs w:val="22"/>
        </w:rPr>
        <w:t>‐</w:t>
      </w:r>
      <w:r w:rsidR="00604913" w:rsidRPr="00ED3141">
        <w:rPr>
          <w:rFonts w:ascii="Arial" w:eastAsia="Times New Roman" w:hAnsi="Arial" w:cs="Arial"/>
          <w:color w:val="222222"/>
          <w:sz w:val="22"/>
          <w:szCs w:val="22"/>
        </w:rPr>
        <w:t>resolution mass data of natural organic matter. Rapid communications in mass spectrometry, 20(5), 926-932.</w:t>
      </w:r>
    </w:p>
    <w:p w14:paraId="6B8A9674" w14:textId="77777777" w:rsidR="00ED3141" w:rsidRPr="00ED3141" w:rsidRDefault="00ED3141" w:rsidP="00ED3141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670D49BD" w14:textId="68C11B22" w:rsidR="00604913" w:rsidRDefault="0024621C" w:rsidP="00ED3141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>3</w:t>
      </w:r>
      <w:r w:rsidR="00604913" w:rsidRPr="00ED3141">
        <w:rPr>
          <w:rFonts w:ascii="Arial" w:eastAsia="Times New Roman" w:hAnsi="Arial" w:cs="Arial"/>
          <w:color w:val="222222"/>
          <w:sz w:val="22"/>
          <w:szCs w:val="22"/>
        </w:rPr>
        <w:t> Errata: Koch, B. P., &amp; Dittmar, T. (2016). From mass to structure: an aromaticity index for high-resolution mass data of natural organic matter. Rapid communications in mass spectrometry, 30(1), 250. DOI: 10.1002/rcm.7433</w:t>
      </w:r>
    </w:p>
    <w:p w14:paraId="681BE1B2" w14:textId="77777777" w:rsidR="00ED3141" w:rsidRPr="00ED3141" w:rsidRDefault="00ED3141" w:rsidP="00ED3141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5C1112C4" w14:textId="7E4A1B5C" w:rsidR="00604913" w:rsidRDefault="0008704C" w:rsidP="00ED3141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>4</w:t>
      </w:r>
      <w:r w:rsidR="00604913" w:rsidRPr="00ED3141">
        <w:rPr>
          <w:rFonts w:ascii="Arial" w:eastAsia="Times New Roman" w:hAnsi="Arial" w:cs="Arial"/>
          <w:color w:val="222222"/>
          <w:sz w:val="22"/>
          <w:szCs w:val="22"/>
        </w:rPr>
        <w:t> </w:t>
      </w:r>
      <w:proofErr w:type="spellStart"/>
      <w:r w:rsidR="00604913" w:rsidRPr="00ED3141">
        <w:rPr>
          <w:rFonts w:ascii="Arial" w:eastAsia="Times New Roman" w:hAnsi="Arial" w:cs="Arial"/>
          <w:color w:val="222222"/>
          <w:sz w:val="22"/>
          <w:szCs w:val="22"/>
        </w:rPr>
        <w:t>LaRowe</w:t>
      </w:r>
      <w:proofErr w:type="spellEnd"/>
      <w:r w:rsidR="00604913" w:rsidRPr="00ED3141">
        <w:rPr>
          <w:rFonts w:ascii="Arial" w:eastAsia="Times New Roman" w:hAnsi="Arial" w:cs="Arial"/>
          <w:color w:val="222222"/>
          <w:sz w:val="22"/>
          <w:szCs w:val="22"/>
        </w:rPr>
        <w:t xml:space="preserve"> and Van </w:t>
      </w:r>
      <w:proofErr w:type="spellStart"/>
      <w:r w:rsidR="00604913" w:rsidRPr="00ED3141">
        <w:rPr>
          <w:rFonts w:ascii="Arial" w:eastAsia="Times New Roman" w:hAnsi="Arial" w:cs="Arial"/>
          <w:color w:val="222222"/>
          <w:sz w:val="22"/>
          <w:szCs w:val="22"/>
        </w:rPr>
        <w:t>Cappellen</w:t>
      </w:r>
      <w:proofErr w:type="spellEnd"/>
      <w:r w:rsidR="00604913" w:rsidRPr="00ED3141">
        <w:rPr>
          <w:rFonts w:ascii="Arial" w:eastAsia="Times New Roman" w:hAnsi="Arial" w:cs="Arial"/>
          <w:color w:val="222222"/>
          <w:sz w:val="22"/>
          <w:szCs w:val="22"/>
        </w:rPr>
        <w:t xml:space="preserve">, 2011, “Degradation of natural organic matter: A thermodynamic analysis”. </w:t>
      </w:r>
      <w:proofErr w:type="spellStart"/>
      <w:r w:rsidR="00604913" w:rsidRPr="00ED3141">
        <w:rPr>
          <w:rFonts w:ascii="Arial" w:eastAsia="Times New Roman" w:hAnsi="Arial" w:cs="Arial"/>
          <w:color w:val="222222"/>
          <w:sz w:val="22"/>
          <w:szCs w:val="22"/>
        </w:rPr>
        <w:t>Geochimica</w:t>
      </w:r>
      <w:proofErr w:type="spellEnd"/>
      <w:r w:rsidR="00604913" w:rsidRPr="00ED3141">
        <w:rPr>
          <w:rFonts w:ascii="Arial" w:eastAsia="Times New Roman" w:hAnsi="Arial" w:cs="Arial"/>
          <w:color w:val="222222"/>
          <w:sz w:val="22"/>
          <w:szCs w:val="22"/>
        </w:rPr>
        <w:t xml:space="preserve"> et </w:t>
      </w:r>
      <w:proofErr w:type="spellStart"/>
      <w:r w:rsidR="00604913" w:rsidRPr="00ED3141">
        <w:rPr>
          <w:rFonts w:ascii="Arial" w:eastAsia="Times New Roman" w:hAnsi="Arial" w:cs="Arial"/>
          <w:color w:val="222222"/>
          <w:sz w:val="22"/>
          <w:szCs w:val="22"/>
        </w:rPr>
        <w:t>Cosmochimica</w:t>
      </w:r>
      <w:proofErr w:type="spellEnd"/>
      <w:r w:rsidR="00604913" w:rsidRPr="00ED3141">
        <w:rPr>
          <w:rFonts w:ascii="Arial" w:eastAsia="Times New Roman" w:hAnsi="Arial" w:cs="Arial"/>
          <w:color w:val="222222"/>
          <w:sz w:val="22"/>
          <w:szCs w:val="22"/>
        </w:rPr>
        <w:t xml:space="preserve"> Acta. 75.</w:t>
      </w:r>
    </w:p>
    <w:p w14:paraId="2718BF47" w14:textId="77777777" w:rsidR="00ED3141" w:rsidRPr="00ED3141" w:rsidRDefault="00ED3141" w:rsidP="00ED3141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14325921" w14:textId="6E10E3AF" w:rsidR="00604913" w:rsidRDefault="0008704C" w:rsidP="00ED3141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>5</w:t>
      </w:r>
      <w:r w:rsidR="00604913" w:rsidRPr="00ED3141">
        <w:rPr>
          <w:rFonts w:ascii="Arial" w:eastAsia="Times New Roman" w:hAnsi="Arial" w:cs="Arial"/>
          <w:color w:val="222222"/>
          <w:sz w:val="22"/>
          <w:szCs w:val="22"/>
        </w:rPr>
        <w:t> Hughey, C. A., Hendrickson, C. L., Rodgers, R. P., Marshall, A. G., &amp; Qian, K. (2001). Kendrick mass defect spectrum: a compact visual analysis for ultrahigh-resolution broadband mass spectra. Analytical Chemistry, 73(19), 4676-4681.</w:t>
      </w:r>
    </w:p>
    <w:p w14:paraId="5ED6BE97" w14:textId="77777777" w:rsidR="0008704C" w:rsidRDefault="0008704C" w:rsidP="00ED3141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72382A8B" w14:textId="08696EAF" w:rsidR="0008704C" w:rsidRDefault="0008704C" w:rsidP="0008704C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lastRenderedPageBreak/>
        <w:t>6</w:t>
      </w:r>
      <w:r w:rsidRPr="00ED3141">
        <w:rPr>
          <w:rFonts w:ascii="Arial" w:eastAsia="Times New Roman" w:hAnsi="Arial" w:cs="Arial"/>
          <w:color w:val="222222"/>
          <w:sz w:val="22"/>
          <w:szCs w:val="22"/>
        </w:rPr>
        <w:t xml:space="preserve"> Kim, S., Kramer, R. W., &amp; Hatcher, P. G. (2003). Graphical method for analysis of ultrahigh-resolution broadband mass spectra of natural organic matter, the van </w:t>
      </w:r>
      <w:proofErr w:type="spellStart"/>
      <w:r w:rsidRPr="00ED3141">
        <w:rPr>
          <w:rFonts w:ascii="Arial" w:eastAsia="Times New Roman" w:hAnsi="Arial" w:cs="Arial"/>
          <w:color w:val="222222"/>
          <w:sz w:val="22"/>
          <w:szCs w:val="22"/>
        </w:rPr>
        <w:t>Krevelen</w:t>
      </w:r>
      <w:proofErr w:type="spellEnd"/>
      <w:r w:rsidRPr="00ED3141">
        <w:rPr>
          <w:rFonts w:ascii="Arial" w:eastAsia="Times New Roman" w:hAnsi="Arial" w:cs="Arial"/>
          <w:color w:val="222222"/>
          <w:sz w:val="22"/>
          <w:szCs w:val="22"/>
        </w:rPr>
        <w:t xml:space="preserve"> diagram. Analytical Chemistry, 75(20), 5336-5344.</w:t>
      </w:r>
    </w:p>
    <w:p w14:paraId="6FC50B28" w14:textId="77777777" w:rsidR="0008704C" w:rsidRPr="00ED3141" w:rsidRDefault="0008704C" w:rsidP="0008704C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7549F6B0" w14:textId="451F9EC4" w:rsidR="0008704C" w:rsidRDefault="0008704C" w:rsidP="0008704C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 xml:space="preserve">7 </w:t>
      </w:r>
      <w:r w:rsidRPr="00ED3141">
        <w:rPr>
          <w:rFonts w:ascii="Arial" w:eastAsia="Times New Roman" w:hAnsi="Arial" w:cs="Arial"/>
          <w:color w:val="222222"/>
          <w:sz w:val="22"/>
          <w:szCs w:val="22"/>
        </w:rPr>
        <w:t xml:space="preserve">Bailey, V. L., Smith, A. P., </w:t>
      </w:r>
      <w:proofErr w:type="spellStart"/>
      <w:r w:rsidRPr="00ED3141">
        <w:rPr>
          <w:rFonts w:ascii="Arial" w:eastAsia="Times New Roman" w:hAnsi="Arial" w:cs="Arial"/>
          <w:color w:val="222222"/>
          <w:sz w:val="22"/>
          <w:szCs w:val="22"/>
        </w:rPr>
        <w:t>Tfaily</w:t>
      </w:r>
      <w:proofErr w:type="spellEnd"/>
      <w:r w:rsidRPr="00ED3141">
        <w:rPr>
          <w:rFonts w:ascii="Arial" w:eastAsia="Times New Roman" w:hAnsi="Arial" w:cs="Arial"/>
          <w:color w:val="222222"/>
          <w:sz w:val="22"/>
          <w:szCs w:val="22"/>
        </w:rPr>
        <w:t xml:space="preserve">, M., </w:t>
      </w:r>
      <w:proofErr w:type="spellStart"/>
      <w:r w:rsidRPr="00ED3141">
        <w:rPr>
          <w:rFonts w:ascii="Arial" w:eastAsia="Times New Roman" w:hAnsi="Arial" w:cs="Arial"/>
          <w:color w:val="222222"/>
          <w:sz w:val="22"/>
          <w:szCs w:val="22"/>
        </w:rPr>
        <w:t>Fansler</w:t>
      </w:r>
      <w:proofErr w:type="spellEnd"/>
      <w:r w:rsidRPr="00ED3141">
        <w:rPr>
          <w:rFonts w:ascii="Arial" w:eastAsia="Times New Roman" w:hAnsi="Arial" w:cs="Arial"/>
          <w:color w:val="222222"/>
          <w:sz w:val="22"/>
          <w:szCs w:val="22"/>
        </w:rPr>
        <w:t>, S. J., &amp; Bond-</w:t>
      </w:r>
      <w:proofErr w:type="spellStart"/>
      <w:r w:rsidRPr="00ED3141">
        <w:rPr>
          <w:rFonts w:ascii="Arial" w:eastAsia="Times New Roman" w:hAnsi="Arial" w:cs="Arial"/>
          <w:color w:val="222222"/>
          <w:sz w:val="22"/>
          <w:szCs w:val="22"/>
        </w:rPr>
        <w:t>Lamberty</w:t>
      </w:r>
      <w:proofErr w:type="spellEnd"/>
      <w:r w:rsidRPr="00ED3141">
        <w:rPr>
          <w:rFonts w:ascii="Arial" w:eastAsia="Times New Roman" w:hAnsi="Arial" w:cs="Arial"/>
          <w:color w:val="222222"/>
          <w:sz w:val="22"/>
          <w:szCs w:val="22"/>
        </w:rPr>
        <w:t>, B. (2017). Differences in soluble organic carbon chemistry in pore waters sampled from different pore size domains. Soil Biology and Biochemistry, 107, 133-143.</w:t>
      </w:r>
    </w:p>
    <w:p w14:paraId="3189B334" w14:textId="77777777" w:rsidR="0008704C" w:rsidRPr="00ED3141" w:rsidRDefault="0008704C" w:rsidP="0008704C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0AAC8FB6" w14:textId="3FFA9C26" w:rsidR="0008704C" w:rsidRDefault="0008704C" w:rsidP="0008704C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bdr w:val="none" w:sz="0" w:space="0" w:color="auto" w:frame="1"/>
        </w:rPr>
        <w:t>8</w:t>
      </w:r>
      <w:r w:rsidRPr="00ED3141">
        <w:rPr>
          <w:rFonts w:ascii="Arial" w:eastAsia="Times New Roman" w:hAnsi="Arial" w:cs="Arial"/>
          <w:color w:val="222222"/>
          <w:sz w:val="22"/>
          <w:szCs w:val="22"/>
        </w:rPr>
        <w:t> Rivas-</w:t>
      </w:r>
      <w:proofErr w:type="spellStart"/>
      <w:r w:rsidRPr="00ED3141">
        <w:rPr>
          <w:rFonts w:ascii="Arial" w:eastAsia="Times New Roman" w:hAnsi="Arial" w:cs="Arial"/>
          <w:color w:val="222222"/>
          <w:sz w:val="22"/>
          <w:szCs w:val="22"/>
        </w:rPr>
        <w:t>Ubach</w:t>
      </w:r>
      <w:proofErr w:type="spellEnd"/>
      <w:r w:rsidRPr="00ED3141">
        <w:rPr>
          <w:rFonts w:ascii="Arial" w:eastAsia="Times New Roman" w:hAnsi="Arial" w:cs="Arial"/>
          <w:color w:val="222222"/>
          <w:sz w:val="22"/>
          <w:szCs w:val="22"/>
        </w:rPr>
        <w:t xml:space="preserve">, A., Liu, Y., Bianchi, T. S., </w:t>
      </w:r>
      <w:proofErr w:type="spellStart"/>
      <w:r w:rsidRPr="00ED3141">
        <w:rPr>
          <w:rFonts w:ascii="Arial" w:eastAsia="Times New Roman" w:hAnsi="Arial" w:cs="Arial"/>
          <w:color w:val="222222"/>
          <w:sz w:val="22"/>
          <w:szCs w:val="22"/>
        </w:rPr>
        <w:t>Toliċ</w:t>
      </w:r>
      <w:proofErr w:type="spellEnd"/>
      <w:r w:rsidRPr="00ED3141">
        <w:rPr>
          <w:rFonts w:ascii="Arial" w:eastAsia="Times New Roman" w:hAnsi="Arial" w:cs="Arial"/>
          <w:color w:val="222222"/>
          <w:sz w:val="22"/>
          <w:szCs w:val="22"/>
        </w:rPr>
        <w:t xml:space="preserve">, N., Jansson, C., &amp; </w:t>
      </w:r>
      <w:proofErr w:type="spellStart"/>
      <w:r w:rsidRPr="00ED3141">
        <w:rPr>
          <w:rFonts w:ascii="Arial" w:eastAsia="Times New Roman" w:hAnsi="Arial" w:cs="Arial"/>
          <w:color w:val="222222"/>
          <w:sz w:val="22"/>
          <w:szCs w:val="22"/>
        </w:rPr>
        <w:t>Paša-Tolić</w:t>
      </w:r>
      <w:proofErr w:type="spellEnd"/>
      <w:r w:rsidRPr="00ED3141">
        <w:rPr>
          <w:rFonts w:ascii="Arial" w:eastAsia="Times New Roman" w:hAnsi="Arial" w:cs="Arial"/>
          <w:color w:val="222222"/>
          <w:sz w:val="22"/>
          <w:szCs w:val="22"/>
        </w:rPr>
        <w:t xml:space="preserve">, L. (2018). Moving beyond the van </w:t>
      </w:r>
      <w:proofErr w:type="spellStart"/>
      <w:r w:rsidRPr="00ED3141">
        <w:rPr>
          <w:rFonts w:ascii="Arial" w:eastAsia="Times New Roman" w:hAnsi="Arial" w:cs="Arial"/>
          <w:color w:val="222222"/>
          <w:sz w:val="22"/>
          <w:szCs w:val="22"/>
        </w:rPr>
        <w:t>Krevelen</w:t>
      </w:r>
      <w:proofErr w:type="spellEnd"/>
      <w:r w:rsidRPr="00ED3141">
        <w:rPr>
          <w:rFonts w:ascii="Arial" w:eastAsia="Times New Roman" w:hAnsi="Arial" w:cs="Arial"/>
          <w:color w:val="222222"/>
          <w:sz w:val="22"/>
          <w:szCs w:val="22"/>
        </w:rPr>
        <w:t xml:space="preserve"> diagram: A new stoichiometric approach for compound classification in organisms. Analytical chemistry. DOI: 10.1021/acs.analchem.8b00529</w:t>
      </w:r>
    </w:p>
    <w:p w14:paraId="40D62437" w14:textId="77777777" w:rsidR="0008704C" w:rsidRPr="00ED3141" w:rsidRDefault="0008704C" w:rsidP="00ED3141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6A920E3E" w14:textId="77777777" w:rsidR="00DE4C68" w:rsidRPr="00ED3141" w:rsidRDefault="00DE4C68" w:rsidP="00DE4C68">
      <w:pPr>
        <w:spacing w:before="315" w:after="315"/>
        <w:rPr>
          <w:rFonts w:ascii="Arial" w:eastAsia="Times New Roman" w:hAnsi="Arial" w:cs="Arial"/>
        </w:rPr>
      </w:pPr>
    </w:p>
    <w:sectPr w:rsidR="00DE4C68" w:rsidRPr="00ED3141" w:rsidSect="002E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4B"/>
    <w:rsid w:val="0000296D"/>
    <w:rsid w:val="000060A9"/>
    <w:rsid w:val="00017A72"/>
    <w:rsid w:val="00036BB2"/>
    <w:rsid w:val="000513DB"/>
    <w:rsid w:val="0005392F"/>
    <w:rsid w:val="00055987"/>
    <w:rsid w:val="00056659"/>
    <w:rsid w:val="0005775C"/>
    <w:rsid w:val="000633D7"/>
    <w:rsid w:val="00067F78"/>
    <w:rsid w:val="000738EE"/>
    <w:rsid w:val="00073CA3"/>
    <w:rsid w:val="00085517"/>
    <w:rsid w:val="0008704C"/>
    <w:rsid w:val="00093F5D"/>
    <w:rsid w:val="0009527C"/>
    <w:rsid w:val="000A57F1"/>
    <w:rsid w:val="000B38A1"/>
    <w:rsid w:val="000B3B17"/>
    <w:rsid w:val="000C2ED8"/>
    <w:rsid w:val="000E0D7B"/>
    <w:rsid w:val="000E46CB"/>
    <w:rsid w:val="000E4905"/>
    <w:rsid w:val="000F16C7"/>
    <w:rsid w:val="000F1A8C"/>
    <w:rsid w:val="000F1EFA"/>
    <w:rsid w:val="000F3ABB"/>
    <w:rsid w:val="000F5A19"/>
    <w:rsid w:val="00105744"/>
    <w:rsid w:val="00112B39"/>
    <w:rsid w:val="0011376A"/>
    <w:rsid w:val="001148C6"/>
    <w:rsid w:val="00116FB2"/>
    <w:rsid w:val="00127423"/>
    <w:rsid w:val="00130DA2"/>
    <w:rsid w:val="00140803"/>
    <w:rsid w:val="00142B7C"/>
    <w:rsid w:val="00146254"/>
    <w:rsid w:val="00151AB5"/>
    <w:rsid w:val="001555BB"/>
    <w:rsid w:val="00157ADC"/>
    <w:rsid w:val="00161FBF"/>
    <w:rsid w:val="001731F9"/>
    <w:rsid w:val="00185070"/>
    <w:rsid w:val="00196B90"/>
    <w:rsid w:val="001A45A6"/>
    <w:rsid w:val="001B35E2"/>
    <w:rsid w:val="001B7EBE"/>
    <w:rsid w:val="001C2D79"/>
    <w:rsid w:val="001C63DA"/>
    <w:rsid w:val="001D24F1"/>
    <w:rsid w:val="001E0396"/>
    <w:rsid w:val="001E46E7"/>
    <w:rsid w:val="001E5B5A"/>
    <w:rsid w:val="00202BDA"/>
    <w:rsid w:val="0022206F"/>
    <w:rsid w:val="00223788"/>
    <w:rsid w:val="0024621C"/>
    <w:rsid w:val="002566B0"/>
    <w:rsid w:val="0027328C"/>
    <w:rsid w:val="00273C36"/>
    <w:rsid w:val="00274AB2"/>
    <w:rsid w:val="00283553"/>
    <w:rsid w:val="00293B79"/>
    <w:rsid w:val="002A0899"/>
    <w:rsid w:val="002A3B03"/>
    <w:rsid w:val="002A5C8B"/>
    <w:rsid w:val="002B4D95"/>
    <w:rsid w:val="002B568E"/>
    <w:rsid w:val="002E01ED"/>
    <w:rsid w:val="002E5841"/>
    <w:rsid w:val="002E5B9A"/>
    <w:rsid w:val="003014D0"/>
    <w:rsid w:val="0030671C"/>
    <w:rsid w:val="00307656"/>
    <w:rsid w:val="003134E8"/>
    <w:rsid w:val="00326841"/>
    <w:rsid w:val="00337323"/>
    <w:rsid w:val="00360C41"/>
    <w:rsid w:val="00364549"/>
    <w:rsid w:val="003704E3"/>
    <w:rsid w:val="00372160"/>
    <w:rsid w:val="00374AC3"/>
    <w:rsid w:val="00381A6E"/>
    <w:rsid w:val="00381ADD"/>
    <w:rsid w:val="003825BB"/>
    <w:rsid w:val="0038424B"/>
    <w:rsid w:val="003848A2"/>
    <w:rsid w:val="0039191A"/>
    <w:rsid w:val="003B0D54"/>
    <w:rsid w:val="003B203F"/>
    <w:rsid w:val="003B524F"/>
    <w:rsid w:val="003C1789"/>
    <w:rsid w:val="003C2B4F"/>
    <w:rsid w:val="003D3DC9"/>
    <w:rsid w:val="003F77D2"/>
    <w:rsid w:val="00402ED4"/>
    <w:rsid w:val="0041663C"/>
    <w:rsid w:val="0042042E"/>
    <w:rsid w:val="00425BAD"/>
    <w:rsid w:val="00430775"/>
    <w:rsid w:val="004507CE"/>
    <w:rsid w:val="0045165B"/>
    <w:rsid w:val="00454D4E"/>
    <w:rsid w:val="00464D10"/>
    <w:rsid w:val="00467AE4"/>
    <w:rsid w:val="004755E8"/>
    <w:rsid w:val="00475CA3"/>
    <w:rsid w:val="004856B4"/>
    <w:rsid w:val="00485C39"/>
    <w:rsid w:val="004872C8"/>
    <w:rsid w:val="00490CC0"/>
    <w:rsid w:val="00491236"/>
    <w:rsid w:val="00491AB5"/>
    <w:rsid w:val="00493DF2"/>
    <w:rsid w:val="00497202"/>
    <w:rsid w:val="004A35CD"/>
    <w:rsid w:val="004B0F54"/>
    <w:rsid w:val="004B6D8C"/>
    <w:rsid w:val="004B7C05"/>
    <w:rsid w:val="004C4446"/>
    <w:rsid w:val="004C4B4A"/>
    <w:rsid w:val="004C7E05"/>
    <w:rsid w:val="004D48DF"/>
    <w:rsid w:val="004F7E56"/>
    <w:rsid w:val="00500603"/>
    <w:rsid w:val="005054EA"/>
    <w:rsid w:val="00507A5A"/>
    <w:rsid w:val="005120C1"/>
    <w:rsid w:val="00544DB3"/>
    <w:rsid w:val="005573E4"/>
    <w:rsid w:val="00565DA3"/>
    <w:rsid w:val="005717DE"/>
    <w:rsid w:val="005836C7"/>
    <w:rsid w:val="00584B3E"/>
    <w:rsid w:val="00591F95"/>
    <w:rsid w:val="005A07DB"/>
    <w:rsid w:val="005A4111"/>
    <w:rsid w:val="005A6B44"/>
    <w:rsid w:val="005B4EFC"/>
    <w:rsid w:val="005C2C77"/>
    <w:rsid w:val="005C4F02"/>
    <w:rsid w:val="005E4B7B"/>
    <w:rsid w:val="005F0F14"/>
    <w:rsid w:val="0060470A"/>
    <w:rsid w:val="00604913"/>
    <w:rsid w:val="00605B84"/>
    <w:rsid w:val="006065DE"/>
    <w:rsid w:val="00606713"/>
    <w:rsid w:val="0062102E"/>
    <w:rsid w:val="00624153"/>
    <w:rsid w:val="00650FB2"/>
    <w:rsid w:val="00652D1F"/>
    <w:rsid w:val="00657147"/>
    <w:rsid w:val="00657EBE"/>
    <w:rsid w:val="00660040"/>
    <w:rsid w:val="00666FB9"/>
    <w:rsid w:val="00667CB6"/>
    <w:rsid w:val="00670E7A"/>
    <w:rsid w:val="00690646"/>
    <w:rsid w:val="006935CC"/>
    <w:rsid w:val="00693EC4"/>
    <w:rsid w:val="006A6C34"/>
    <w:rsid w:val="006A737A"/>
    <w:rsid w:val="006B0239"/>
    <w:rsid w:val="006B6A32"/>
    <w:rsid w:val="006C12F6"/>
    <w:rsid w:val="006C2EF4"/>
    <w:rsid w:val="006C45FE"/>
    <w:rsid w:val="006C5205"/>
    <w:rsid w:val="006C6CE1"/>
    <w:rsid w:val="006D0B03"/>
    <w:rsid w:val="006D23C8"/>
    <w:rsid w:val="006E5BB1"/>
    <w:rsid w:val="006E71FB"/>
    <w:rsid w:val="006E76F7"/>
    <w:rsid w:val="006E7DB8"/>
    <w:rsid w:val="006F3A7E"/>
    <w:rsid w:val="007016A8"/>
    <w:rsid w:val="007056AA"/>
    <w:rsid w:val="007076D6"/>
    <w:rsid w:val="00712B5A"/>
    <w:rsid w:val="007279F3"/>
    <w:rsid w:val="007429CB"/>
    <w:rsid w:val="007442D6"/>
    <w:rsid w:val="00744523"/>
    <w:rsid w:val="00746B78"/>
    <w:rsid w:val="00756674"/>
    <w:rsid w:val="00782AD5"/>
    <w:rsid w:val="00786DBC"/>
    <w:rsid w:val="00795B5E"/>
    <w:rsid w:val="007B42EE"/>
    <w:rsid w:val="007C7BA3"/>
    <w:rsid w:val="007D30D1"/>
    <w:rsid w:val="007D52FB"/>
    <w:rsid w:val="007E24D3"/>
    <w:rsid w:val="007F0830"/>
    <w:rsid w:val="00812A15"/>
    <w:rsid w:val="00823470"/>
    <w:rsid w:val="00834CAB"/>
    <w:rsid w:val="00842545"/>
    <w:rsid w:val="008447AF"/>
    <w:rsid w:val="00872286"/>
    <w:rsid w:val="00881FD9"/>
    <w:rsid w:val="00886670"/>
    <w:rsid w:val="00886C4D"/>
    <w:rsid w:val="0088719A"/>
    <w:rsid w:val="00892C83"/>
    <w:rsid w:val="00896088"/>
    <w:rsid w:val="008A6BC1"/>
    <w:rsid w:val="008A75FD"/>
    <w:rsid w:val="008B0CB0"/>
    <w:rsid w:val="008B401F"/>
    <w:rsid w:val="008D1C56"/>
    <w:rsid w:val="008D4A3D"/>
    <w:rsid w:val="008E11A8"/>
    <w:rsid w:val="008E1F29"/>
    <w:rsid w:val="008E2D7C"/>
    <w:rsid w:val="008E65B2"/>
    <w:rsid w:val="008F78B0"/>
    <w:rsid w:val="009009AF"/>
    <w:rsid w:val="00906836"/>
    <w:rsid w:val="009141F1"/>
    <w:rsid w:val="009167EF"/>
    <w:rsid w:val="0092130E"/>
    <w:rsid w:val="0092639C"/>
    <w:rsid w:val="00933B15"/>
    <w:rsid w:val="009360E9"/>
    <w:rsid w:val="00937757"/>
    <w:rsid w:val="0094229A"/>
    <w:rsid w:val="00946CDD"/>
    <w:rsid w:val="009514D5"/>
    <w:rsid w:val="00962AF6"/>
    <w:rsid w:val="00975AD8"/>
    <w:rsid w:val="00984D6C"/>
    <w:rsid w:val="0098720E"/>
    <w:rsid w:val="009A2F88"/>
    <w:rsid w:val="009B57C9"/>
    <w:rsid w:val="009C3932"/>
    <w:rsid w:val="009D7184"/>
    <w:rsid w:val="009E570F"/>
    <w:rsid w:val="009E741D"/>
    <w:rsid w:val="00A06286"/>
    <w:rsid w:val="00A14908"/>
    <w:rsid w:val="00A16B8F"/>
    <w:rsid w:val="00A2049D"/>
    <w:rsid w:val="00A27C38"/>
    <w:rsid w:val="00A34D9B"/>
    <w:rsid w:val="00A37CB6"/>
    <w:rsid w:val="00A45FDE"/>
    <w:rsid w:val="00A56DEE"/>
    <w:rsid w:val="00A72258"/>
    <w:rsid w:val="00A73056"/>
    <w:rsid w:val="00AA7EFB"/>
    <w:rsid w:val="00AB754B"/>
    <w:rsid w:val="00AC00FB"/>
    <w:rsid w:val="00AC3595"/>
    <w:rsid w:val="00AC6211"/>
    <w:rsid w:val="00B036A4"/>
    <w:rsid w:val="00B15272"/>
    <w:rsid w:val="00B21036"/>
    <w:rsid w:val="00B26BF9"/>
    <w:rsid w:val="00B35EF7"/>
    <w:rsid w:val="00B53CB6"/>
    <w:rsid w:val="00B54BA3"/>
    <w:rsid w:val="00B569E0"/>
    <w:rsid w:val="00B56BA8"/>
    <w:rsid w:val="00B65019"/>
    <w:rsid w:val="00B70F0C"/>
    <w:rsid w:val="00B71BFF"/>
    <w:rsid w:val="00B80930"/>
    <w:rsid w:val="00B86BF1"/>
    <w:rsid w:val="00BA09D9"/>
    <w:rsid w:val="00BA485B"/>
    <w:rsid w:val="00BB02D1"/>
    <w:rsid w:val="00BB0A5A"/>
    <w:rsid w:val="00BB0A99"/>
    <w:rsid w:val="00BB3800"/>
    <w:rsid w:val="00BB6C4C"/>
    <w:rsid w:val="00BB740F"/>
    <w:rsid w:val="00BC031B"/>
    <w:rsid w:val="00BD4494"/>
    <w:rsid w:val="00BE6A9D"/>
    <w:rsid w:val="00BF2F49"/>
    <w:rsid w:val="00C141FC"/>
    <w:rsid w:val="00C17C40"/>
    <w:rsid w:val="00C364FE"/>
    <w:rsid w:val="00C37AC2"/>
    <w:rsid w:val="00C41D0C"/>
    <w:rsid w:val="00C4751B"/>
    <w:rsid w:val="00C57BB5"/>
    <w:rsid w:val="00C64B1F"/>
    <w:rsid w:val="00C6624F"/>
    <w:rsid w:val="00C73E4C"/>
    <w:rsid w:val="00C83162"/>
    <w:rsid w:val="00C96500"/>
    <w:rsid w:val="00C97E6F"/>
    <w:rsid w:val="00CB1A0F"/>
    <w:rsid w:val="00CB64DE"/>
    <w:rsid w:val="00CD0CB4"/>
    <w:rsid w:val="00CD35A3"/>
    <w:rsid w:val="00CD537B"/>
    <w:rsid w:val="00CE00AB"/>
    <w:rsid w:val="00CE27F8"/>
    <w:rsid w:val="00CE290F"/>
    <w:rsid w:val="00CE5499"/>
    <w:rsid w:val="00CF77B8"/>
    <w:rsid w:val="00D1209E"/>
    <w:rsid w:val="00D172F3"/>
    <w:rsid w:val="00D26733"/>
    <w:rsid w:val="00D3157C"/>
    <w:rsid w:val="00D33678"/>
    <w:rsid w:val="00D37428"/>
    <w:rsid w:val="00D416F4"/>
    <w:rsid w:val="00D46457"/>
    <w:rsid w:val="00D504C8"/>
    <w:rsid w:val="00D50C2D"/>
    <w:rsid w:val="00D57135"/>
    <w:rsid w:val="00D57A4D"/>
    <w:rsid w:val="00D61100"/>
    <w:rsid w:val="00D716A0"/>
    <w:rsid w:val="00D71B2A"/>
    <w:rsid w:val="00D71C2B"/>
    <w:rsid w:val="00D72D40"/>
    <w:rsid w:val="00D756E3"/>
    <w:rsid w:val="00D80783"/>
    <w:rsid w:val="00D81E8E"/>
    <w:rsid w:val="00D9664B"/>
    <w:rsid w:val="00DA2548"/>
    <w:rsid w:val="00DA2E32"/>
    <w:rsid w:val="00DA5636"/>
    <w:rsid w:val="00DB3EFA"/>
    <w:rsid w:val="00DC0A29"/>
    <w:rsid w:val="00DC2E85"/>
    <w:rsid w:val="00DC5AA2"/>
    <w:rsid w:val="00DD2EA5"/>
    <w:rsid w:val="00DD5D4B"/>
    <w:rsid w:val="00DD749C"/>
    <w:rsid w:val="00DE08F9"/>
    <w:rsid w:val="00DE46AD"/>
    <w:rsid w:val="00DE4C68"/>
    <w:rsid w:val="00DF435F"/>
    <w:rsid w:val="00E00637"/>
    <w:rsid w:val="00E0120F"/>
    <w:rsid w:val="00E026E0"/>
    <w:rsid w:val="00E060B2"/>
    <w:rsid w:val="00E1155A"/>
    <w:rsid w:val="00E12C3B"/>
    <w:rsid w:val="00E1421E"/>
    <w:rsid w:val="00E1625C"/>
    <w:rsid w:val="00E33770"/>
    <w:rsid w:val="00E35191"/>
    <w:rsid w:val="00E404E5"/>
    <w:rsid w:val="00E4169D"/>
    <w:rsid w:val="00E531F4"/>
    <w:rsid w:val="00E60EBF"/>
    <w:rsid w:val="00E634BC"/>
    <w:rsid w:val="00E85AED"/>
    <w:rsid w:val="00E96224"/>
    <w:rsid w:val="00E9641B"/>
    <w:rsid w:val="00EA52A7"/>
    <w:rsid w:val="00EB19C7"/>
    <w:rsid w:val="00EC162D"/>
    <w:rsid w:val="00EC1D49"/>
    <w:rsid w:val="00ED3141"/>
    <w:rsid w:val="00ED7877"/>
    <w:rsid w:val="00ED7D95"/>
    <w:rsid w:val="00EE329D"/>
    <w:rsid w:val="00EE5738"/>
    <w:rsid w:val="00EF5958"/>
    <w:rsid w:val="00F111FF"/>
    <w:rsid w:val="00F1499A"/>
    <w:rsid w:val="00F16353"/>
    <w:rsid w:val="00F20D27"/>
    <w:rsid w:val="00F24DEC"/>
    <w:rsid w:val="00F317AD"/>
    <w:rsid w:val="00F32284"/>
    <w:rsid w:val="00F33002"/>
    <w:rsid w:val="00F3473D"/>
    <w:rsid w:val="00F5493A"/>
    <w:rsid w:val="00F64096"/>
    <w:rsid w:val="00F67BB4"/>
    <w:rsid w:val="00F7114F"/>
    <w:rsid w:val="00F72DF6"/>
    <w:rsid w:val="00F82A5E"/>
    <w:rsid w:val="00F947E8"/>
    <w:rsid w:val="00FA15B8"/>
    <w:rsid w:val="00FA305E"/>
    <w:rsid w:val="00FA35F0"/>
    <w:rsid w:val="00FB71B2"/>
    <w:rsid w:val="00FC2D5B"/>
    <w:rsid w:val="00FC6926"/>
    <w:rsid w:val="00FC7754"/>
    <w:rsid w:val="00FF0894"/>
    <w:rsid w:val="00FF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0780"/>
  <w14:defaultImageDpi w14:val="32767"/>
  <w15:chartTrackingRefBased/>
  <w15:docId w15:val="{548606E0-1ACE-B845-9519-3300A9A2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4913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C68"/>
    <w:pPr>
      <w:spacing w:before="100" w:beforeAutospacing="1" w:after="100" w:afterAutospacing="1"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DE4C68"/>
    <w:rPr>
      <w:b/>
      <w:bCs/>
    </w:rPr>
  </w:style>
  <w:style w:type="character" w:customStyle="1" w:styleId="mn">
    <w:name w:val="mn"/>
    <w:basedOn w:val="DefaultParagraphFont"/>
    <w:rsid w:val="00DE4C68"/>
  </w:style>
  <w:style w:type="character" w:customStyle="1" w:styleId="mo">
    <w:name w:val="mo"/>
    <w:basedOn w:val="DefaultParagraphFont"/>
    <w:rsid w:val="00DE4C68"/>
  </w:style>
  <w:style w:type="character" w:customStyle="1" w:styleId="mi">
    <w:name w:val="mi"/>
    <w:basedOn w:val="DefaultParagraphFont"/>
    <w:rsid w:val="00DE4C68"/>
  </w:style>
  <w:style w:type="character" w:customStyle="1" w:styleId="mjxassistivemathml">
    <w:name w:val="mjx_assistive_mathml"/>
    <w:basedOn w:val="DefaultParagraphFont"/>
    <w:rsid w:val="00DE4C68"/>
  </w:style>
  <w:style w:type="character" w:styleId="Hyperlink">
    <w:name w:val="Hyperlink"/>
    <w:basedOn w:val="DefaultParagraphFont"/>
    <w:uiPriority w:val="99"/>
    <w:unhideWhenUsed/>
    <w:rsid w:val="00DE4C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0491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04913"/>
    <w:rPr>
      <w:rFonts w:eastAsia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B4F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4F"/>
    <w:rPr>
      <w:rFonts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E71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nlinelibrary.wiley.com/doi/full/10.1002/rcm.7433" TargetMode="External"/><Relationship Id="rId18" Type="http://schemas.openxmlformats.org/officeDocument/2006/relationships/hyperlink" Target="https://onlinelibrary.wiley.com/doi/abs/10.1002/rcm.238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pubs.acs.org/doi/pdf/10.1021/ac010560w" TargetMode="External"/><Relationship Id="rId7" Type="http://schemas.openxmlformats.org/officeDocument/2006/relationships/hyperlink" Target="https://onlinelibrary.wiley.com/doi/full/10.1002/rcm.7433" TargetMode="External"/><Relationship Id="rId12" Type="http://schemas.openxmlformats.org/officeDocument/2006/relationships/hyperlink" Target="https://onlinelibrary.wiley.com/doi/abs/10.1002/rcm.2386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pubs.acs.org/doi/abs/10.1021/acs.analchem.8b005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linelibrary.wiley.com/doi/full/10.1002/rcm.7433" TargetMode="External"/><Relationship Id="rId20" Type="http://schemas.openxmlformats.org/officeDocument/2006/relationships/hyperlink" Target="https://www.sciencedirect.com/science/article/pii/S0016703711000378" TargetMode="External"/><Relationship Id="rId1" Type="http://schemas.openxmlformats.org/officeDocument/2006/relationships/styles" Target="styles.xml"/><Relationship Id="rId6" Type="http://schemas.openxmlformats.org/officeDocument/2006/relationships/hyperlink" Target="https://onlinelibrary.wiley.com/doi/abs/10.1002/rcm.2386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sciencedirect.com/science/article/pii/S003807171630644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onlinelibrary.wiley.com/doi/abs/10.1002/rcm.2386" TargetMode="External"/><Relationship Id="rId23" Type="http://schemas.openxmlformats.org/officeDocument/2006/relationships/hyperlink" Target="https://www.ncbi.nlm.nih.gov/pubmed/14710810" TargetMode="External"/><Relationship Id="rId10" Type="http://schemas.openxmlformats.org/officeDocument/2006/relationships/hyperlink" Target="https://onlinelibrary.wiley.com/doi/full/10.1002/rcm.7433" TargetMode="External"/><Relationship Id="rId19" Type="http://schemas.openxmlformats.org/officeDocument/2006/relationships/hyperlink" Target="https://onlinelibrary.wiley.com/doi/full/10.1002/rcm.7433" TargetMode="External"/><Relationship Id="rId4" Type="http://schemas.openxmlformats.org/officeDocument/2006/relationships/hyperlink" Target="https://pubs.acs.org/doi/abs/10.1021/acs.analchem.7b03318" TargetMode="External"/><Relationship Id="rId9" Type="http://schemas.openxmlformats.org/officeDocument/2006/relationships/hyperlink" Target="https://onlinelibrary.wiley.com/doi/abs/10.1002/rcm.2386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pubs.acs.org/doi/pdf/10.1021/ac010560w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Danczak, Robert E</cp:lastModifiedBy>
  <cp:revision>9</cp:revision>
  <dcterms:created xsi:type="dcterms:W3CDTF">2019-03-12T23:05:00Z</dcterms:created>
  <dcterms:modified xsi:type="dcterms:W3CDTF">2019-05-23T17:37:00Z</dcterms:modified>
</cp:coreProperties>
</file>