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Bushra Akter</w:t>
      </w:r>
    </w:p>
    <w:p w:rsidR="00000000" w:rsidDel="00000000" w:rsidP="00000000" w:rsidRDefault="00000000" w:rsidRPr="00000000" w14:paraId="00000003">
      <w:pPr>
        <w:spacing w:after="240" w:befor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Number : 06</w:t>
      </w:r>
    </w:p>
    <w:p w:rsidR="00000000" w:rsidDel="00000000" w:rsidP="00000000" w:rsidRDefault="00000000" w:rsidRPr="00000000" w14:paraId="00000004">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 26 Sep 2024</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part:</w:t>
        <w:br w:type="textWrapping"/>
        <w:br w:type="textWrapping"/>
        <w:t xml:space="preserve">All security aspects.</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 Clearance: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clearance depends heavily on the individual. Factors such as background checks, criminal history, financial stability, and personal conduct all play crucial roles in determining whether someone is eligible for access to sensitive information. The level of clearance required also dictates the extent of the vetting process, with more sensitive positions necessitating more thorough investigations.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 of security clearance: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