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52" w:lineRule="auto"/>
      </w:pPr>
      <w:r>
        <w:rPr>
          <w:rFonts w:ascii="Aptos" w:hAnsi="Aptos"/>
          <w:b/>
          <w:color w:val="0B0B0B"/>
          <w:sz w:val="42"/>
        </w:rPr>
        <w:t xml:space="preserve">10.3  Balanced Scorecard</w:t>
      </w:r>
    </w:p>
    <w:p>
      <w:pPr>
        <w:pBdr>
          <w:bottom w:val="single" w:sz="6" w:color="D9D8D0"/>
        </w:pBdr>
        <w:spacing w:before="0" w:after="200" w:line="252" w:lineRule="auto"/>
      </w:pPr>
      <w:r>
        <w:rPr>
          <w:rFonts w:ascii="Aptos" w:hAnsi="Aptos"/>
          <w:color w:val="6B6A66"/>
          <w:sz w:val="20"/>
        </w:rPr>
        <w:t xml:space="preserve">Measurement and evaluation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What it is for</w:t>
      </w:r>
    </w:p>
    <w:p>
      <w:pPr>
        <w:spacing w:before="0" w:after="160" w:line="252" w:lineRule="auto"/>
      </w:pPr>
      <w:r>
        <w:rPr>
          <w:rFonts w:ascii="Aptos" w:hAnsi="Aptos"/>
          <w:color w:val="0B0B0B"/>
          <w:sz w:val="20"/>
        </w:rPr>
        <w:t xml:space="preserve">Holds performance to four perspectives at once, financial, customer, internal process, and learning and growth, so no single dimension is optimised alone.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Reach for it when</w:t>
      </w:r>
    </w:p>
    <w:p>
      <w:pPr>
        <w:spacing w:before="0" w:after="160" w:line="252" w:lineRule="auto"/>
      </w:pPr>
      <w:r>
        <w:rPr>
          <w:rFonts w:ascii="Aptos" w:hAnsi="Aptos"/>
          <w:color w:val="0B0B0B"/>
          <w:sz w:val="20"/>
        </w:rPr>
        <w:t xml:space="preserve">Reach for it when an organisation is measuring itself only on money and needs the leading indicators that explain the money.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Most often confused with</w:t>
      </w:r>
    </w:p>
    <w:p>
      <w:pPr>
        <w:shd w:val="clear" w:fill="F7F7F5"/>
        <w:spacing w:before="0" w:after="200" w:line="252" w:lineRule="auto"/>
      </w:pPr>
      <w:r>
        <w:rPr>
          <w:rFonts w:ascii="Aptos" w:hAnsi="Aptos"/>
          <w:color w:val="0B0B0B"/>
          <w:sz w:val="20"/>
        </w:rPr>
        <w:t xml:space="preserve">A balanced scorecard is a framework for choosing a spread of measures; metrics and KPIs are the individual measures themselves. If the scenario already has measures and asks whether they are the right ones, the scorecard is the answer.</w:t>
      </w:r>
    </w:p>
    <w:p>
      <w:pPr>
        <w:spacing w:before="160" w:after="40" w:line="252" w:lineRule="auto"/>
      </w:pPr>
      <w:r>
        <w:rPr>
          <w:rFonts w:ascii="Aptos" w:hAnsi="Aptos"/>
          <w:b/>
          <w:color w:val="184F95"/>
          <w:sz w:val="18"/>
          <w:spacing w:val="20"/>
        </w:rPr>
        <w:t xml:space="preserve">BLANK TEMPLATE — FILL THIS ONE IN</w:t>
      </w:r>
    </w:p>
    <w:p>
      <w:pPr>
        <w:spacing w:before="0" w:after="120" w:line="252" w:lineRule="auto"/>
      </w:pPr>
      <w:r>
        <w:rPr>
          <w:rFonts w:ascii="Aptos" w:hAnsi="Aptos"/>
          <w:b/>
          <w:color w:val="0B0B0B"/>
          <w:sz w:val="24"/>
        </w:rPr>
        <w:t xml:space="preserve">Balanced Scorecard — blank template</w:t>
      </w:r>
    </w:p>
    <w:tbl>
      <w:tblPr>
        <w:tblW w:w="0" w:type="auto"/>
        <w:tblBorders>
          <w:top w:val="single" w:sz="6" w:space="0" w:color="D9D8D0"/>
          <w:left w:val="single" w:sz="6" w:space="0" w:color="D9D8D0"/>
          <w:bottom w:val="single" w:sz="6" w:space="0" w:color="D9D8D0"/>
          <w:right w:val="single" w:sz="6" w:space="0" w:color="D9D8D0"/>
          <w:insideH w:val="single" w:sz="6" w:space="0" w:color="D9D8D0"/>
          <w:insideV w:val="single" w:sz="6" w:space="0" w:color="D9D8D0"/>
        </w:tblBorders>
        <w:tblLayout w:type="fixed"/>
      </w:tblPr>
      <w:tblGrid>
        <w:gridCol w:w="4421"/>
        <w:gridCol w:w="1368"/>
      </w:tblGrid>
      <w:tr>
        <w:trPr>
          <w:tblHeader/>
        </w:trPr>
        <w:tc>
          <w:tcPr>
            <w:tcW w:w="4421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Block</w:t>
            </w:r>
          </w:p>
        </w:tc>
        <w:tc>
          <w:tcPr>
            <w:tcW w:w="136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Content</w:t>
            </w:r>
          </w:p>
        </w:tc>
      </w:tr>
      <w:tr>
        <w:tc>
          <w:tcPr>
            <w:tcW w:w="4421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Financial — 4 measures</w:t>
            </w: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4421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Internal process — 3 measures</w:t>
            </w: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4421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Customer — 0 measures</w:t>
            </w: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4421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Learning and growth — 0 measures</w:t>
            </w: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120" w:line="252" w:lineRule="auto"/>
      </w:pPr>
    </w:p>
    <w:p>
      <w:pPr>
        <w:spacing w:before="0" w:after="160" w:line="252" w:lineRule="auto"/>
      </w:pPr>
      <w:r>
        <w:rPr>
          <w:rFonts w:ascii="Aptos" w:hAnsi="Aptos"/>
          <w:i/>
          <w:color w:val="6B6A66"/>
          <w:sz w:val="18"/>
        </w:rPr>
        <w:t xml:space="preserve">Panels are fixed. An empty panel is a finding, not an omission.</w:t>
      </w:r>
    </w:p>
    <w:p>
      <w:pPr>
        <w:spacing w:before="120" w:after="80" w:line="252" w:lineRule="auto"/>
      </w:pPr>
      <w:r>
        <w:rPr>
          <w:rFonts w:ascii="Aptos" w:hAnsi="Aptos"/>
          <w:color w:val="6B6A66"/>
          <w:sz w:val="18"/>
        </w:rPr>
        <w:t xml:space="preserve">Tasks that use it: 6.2 Define Future State  ·  8.1 Measure Solution Performance  ·  8.2 Analyze Performance Measures</w:t>
      </w:r>
    </w:p>
    <w:p>
      <w:pPr>
        <w:spacing w:before="200" w:after="80" w:line="252" w:lineRule="auto"/>
      </w:pPr>
      <w:r>
        <w:rPr>
          <w:rFonts w:ascii="Aptos" w:hAnsi="Aptos"/>
          <w:color w:val="6B6A66"/>
          <w:sz w:val="16"/>
        </w:rPr>
        <w:t xml:space="preserve">CBAP® Technique Pack · BABOK® Guide v3 · business-analyst.services · not affiliated with IIBA®</w:t>
      </w:r>
    </w:p>
    <w:sectPr>
      <w:pgSz w:w="16838" w:h="11906" w:orient="landscape"/>
      <w:pgMar w:top="864" w:right="864" w:bottom="864" w:left="864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82B"/>
    <w:rsid w:val="003E2EAC"/>
    <w:rsid w:val="00EF4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9B495"/>
  <w15:chartTrackingRefBased/>
  <w15:docId w15:val="{9B541368-0876-4C02-B59C-C6283CD4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10.3 Balanced Scorecard</dc:title>
  <dc:creator>Business Analyst Services</dc:creator>
  <cp:lastModifiedBy>Business Analyst Services</cp:lastModifiedBy>
</cp:coreProperties>
</file>