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40" w:line="252" w:lineRule="auto"/>
      </w:pPr>
      <w:r>
        <w:rPr>
          <w:rFonts w:ascii="Aptos" w:hAnsi="Aptos"/>
          <w:b/>
          <w:color w:val="0B0B0B"/>
          <w:sz w:val="42"/>
        </w:rPr>
        <w:t xml:space="preserve">10.6  Business Capability Analysis</w:t>
      </w:r>
    </w:p>
    <w:p>
      <w:pPr>
        <w:pBdr>
          <w:bottom w:val="single" w:sz="6" w:color="D9D8D0"/>
        </w:pBdr>
        <w:spacing w:before="0" w:after="200" w:line="252" w:lineRule="auto"/>
      </w:pPr>
      <w:r>
        <w:rPr>
          <w:rFonts w:ascii="Aptos" w:hAnsi="Aptos"/>
          <w:color w:val="6B6A66"/>
          <w:sz w:val="20"/>
        </w:rPr>
        <w:t xml:space="preserve">Strategy and discovery</w:t>
      </w:r>
    </w:p>
    <w:p>
      <w:pPr>
        <w:spacing w:before="0" w:after="40" w:line="252" w:lineRule="auto"/>
      </w:pPr>
      <w:r>
        <w:rPr>
          <w:rFonts w:ascii="Aptos" w:hAnsi="Aptos"/>
          <w:b/>
          <w:caps/>
          <w:color w:val="6B6A66"/>
          <w:sz w:val="16"/>
          <w:spacing w:val="20"/>
        </w:rPr>
        <w:t xml:space="preserve">What it is for</w:t>
      </w:r>
    </w:p>
    <w:p>
      <w:pPr>
        <w:spacing w:before="0" w:after="160" w:line="252" w:lineRule="auto"/>
      </w:pPr>
      <w:r>
        <w:rPr>
          <w:rFonts w:ascii="Aptos" w:hAnsi="Aptos"/>
          <w:color w:val="0B0B0B"/>
          <w:sz w:val="20"/>
        </w:rPr>
        <w:t xml:space="preserve">Describes what the enterprise is able to do, independently of who does it or how, and grades each ability for performance and importance.</w:t>
      </w:r>
    </w:p>
    <w:p>
      <w:pPr>
        <w:spacing w:before="0" w:after="40" w:line="252" w:lineRule="auto"/>
      </w:pPr>
      <w:r>
        <w:rPr>
          <w:rFonts w:ascii="Aptos" w:hAnsi="Aptos"/>
          <w:b/>
          <w:caps/>
          <w:color w:val="6B6A66"/>
          <w:sz w:val="16"/>
          <w:spacing w:val="20"/>
        </w:rPr>
        <w:t xml:space="preserve">Reach for it when</w:t>
      </w:r>
    </w:p>
    <w:p>
      <w:pPr>
        <w:spacing w:before="0" w:after="160" w:line="252" w:lineRule="auto"/>
      </w:pPr>
      <w:r>
        <w:rPr>
          <w:rFonts w:ascii="Aptos" w:hAnsi="Aptos"/>
          <w:color w:val="0B0B0B"/>
          <w:sz w:val="20"/>
        </w:rPr>
        <w:t xml:space="preserve">Reach for it when investment has to be aimed at an outcome rather than a department, or when the same weakness keeps surfacing across several units.</w:t>
      </w:r>
    </w:p>
    <w:p>
      <w:pPr>
        <w:spacing w:before="0" w:after="40" w:line="252" w:lineRule="auto"/>
      </w:pPr>
      <w:r>
        <w:rPr>
          <w:rFonts w:ascii="Aptos" w:hAnsi="Aptos"/>
          <w:b/>
          <w:caps/>
          <w:color w:val="6B6A66"/>
          <w:sz w:val="16"/>
          <w:spacing w:val="20"/>
        </w:rPr>
        <w:t xml:space="preserve">Most often confused with</w:t>
      </w:r>
    </w:p>
    <w:p>
      <w:pPr>
        <w:shd w:val="clear" w:fill="F7F7F5"/>
        <w:spacing w:before="0" w:after="200" w:line="252" w:lineRule="auto"/>
      </w:pPr>
      <w:r>
        <w:rPr>
          <w:rFonts w:ascii="Aptos" w:hAnsi="Aptos"/>
          <w:color w:val="0B0B0B"/>
          <w:sz w:val="20"/>
        </w:rPr>
        <w:t xml:space="preserve">Capabilities are what the organisation can do; processes are how it does it. An item that keeps naming org units or hand-offs is heading for process or organisational modelling, not capability analysis.</w:t>
      </w:r>
    </w:p>
    <w:p>
      <w:pPr>
        <w:spacing w:before="160" w:after="40" w:line="252" w:lineRule="auto"/>
      </w:pPr>
      <w:r>
        <w:rPr>
          <w:rFonts w:ascii="Aptos" w:hAnsi="Aptos"/>
          <w:b/>
          <w:color w:val="184F95"/>
          <w:sz w:val="18"/>
          <w:spacing w:val="20"/>
        </w:rPr>
        <w:t xml:space="preserve">BLANK TEMPLATE — FILL THIS ONE IN</w:t>
      </w:r>
    </w:p>
    <w:p>
      <w:pPr>
        <w:spacing w:before="0" w:after="120" w:line="252" w:lineRule="auto"/>
      </w:pPr>
      <w:r>
        <w:rPr>
          <w:rFonts w:ascii="Aptos" w:hAnsi="Aptos"/>
          <w:b/>
          <w:color w:val="0B0B0B"/>
          <w:sz w:val="24"/>
        </w:rPr>
        <w:t xml:space="preserve">Business Capability Analysis — blank template</w:t>
      </w:r>
    </w:p>
    <w:tbl>
      <w:tblPr>
        <w:tblW w:w="0" w:type="auto"/>
        <w:tblBorders>
          <w:top w:val="single" w:sz="6" w:space="0" w:color="D9D8D0"/>
          <w:left w:val="single" w:sz="6" w:space="0" w:color="D9D8D0"/>
          <w:bottom w:val="single" w:sz="6" w:space="0" w:color="D9D8D0"/>
          <w:right w:val="single" w:sz="6" w:space="0" w:color="D9D8D0"/>
          <w:insideH w:val="single" w:sz="6" w:space="0" w:color="D9D8D0"/>
          <w:insideV w:val="single" w:sz="6" w:space="0" w:color="D9D8D0"/>
        </w:tblBorders>
        <w:tblLayout w:type="fixed"/>
      </w:tblPr>
      <w:tblGrid>
        <w:gridCol w:w="3442"/>
        <w:gridCol w:w="1296"/>
        <w:gridCol w:w="1483"/>
        <w:gridCol w:w="1296"/>
      </w:tblGrid>
      <w:tr>
        <w:trPr>
          <w:tblHeader/>
        </w:trPr>
        <w:tc>
          <w:tcPr>
            <w:tcW w:w="3442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Importance \ Performance</w:t>
            </w:r>
          </w:p>
        </w:tc>
        <w:tc>
          <w:tcPr>
            <w:tcW w:w="1296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Weak</w:t>
            </w:r>
          </w:p>
        </w:tc>
        <w:tc>
          <w:tcPr>
            <w:tcW w:w="1483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Adequate</w:t>
            </w:r>
          </w:p>
        </w:tc>
        <w:tc>
          <w:tcPr>
            <w:tcW w:w="1296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Strong</w:t>
            </w:r>
          </w:p>
        </w:tc>
      </w:tr>
      <w:tr>
        <w:tc>
          <w:tcPr>
            <w:tcW w:w="3442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Critical</w:t>
            </w: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483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3442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Supporting</w:t>
            </w: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483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120" w:line="252" w:lineRule="auto"/>
      </w:pPr>
    </w:p>
    <w:p>
      <w:pPr>
        <w:spacing w:before="0" w:after="160" w:line="252" w:lineRule="auto"/>
      </w:pPr>
      <w:r>
        <w:rPr>
          <w:rFonts w:ascii="Aptos" w:hAnsi="Aptos"/>
          <w:i/>
          <w:color w:val="6B6A66"/>
          <w:sz w:val="18"/>
        </w:rPr>
        <w:t xml:space="preserve">Place each item in one cell only. If it fits two, the axes are not yet sharp enough.</w:t>
      </w:r>
    </w:p>
    <w:p>
      <w:pPr>
        <w:spacing w:before="120" w:after="80" w:line="252" w:lineRule="auto"/>
      </w:pPr>
      <w:r>
        <w:rPr>
          <w:rFonts w:ascii="Aptos" w:hAnsi="Aptos"/>
          <w:color w:val="6B6A66"/>
          <w:sz w:val="18"/>
        </w:rPr>
        <w:t xml:space="preserve">Tasks that use it: 6.1 Analyze Current State  ·  6.2 Define Future State  ·  6.4 Define Change Strategy</w:t>
      </w:r>
    </w:p>
    <w:p>
      <w:pPr>
        <w:spacing w:before="200" w:after="80" w:line="252" w:lineRule="auto"/>
      </w:pPr>
      <w:r>
        <w:rPr>
          <w:rFonts w:ascii="Aptos" w:hAnsi="Aptos"/>
          <w:color w:val="6B6A66"/>
          <w:sz w:val="16"/>
        </w:rPr>
        <w:t xml:space="preserve">CBAP® Technique Pack · BABOK® Guide v3 · business-analyst.services · not affiliated with IIBA®</w:t>
      </w:r>
    </w:p>
    <w:sectPr>
      <w:pgSz w:w="16838" w:h="11906" w:orient="landscape"/>
      <w:pgMar w:top="864" w:right="864" w:bottom="864" w:left="864" w:header="708" w:footer="708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82B"/>
    <w:rsid w:val="003E2EAC"/>
    <w:rsid w:val="00EF4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F9B495"/>
  <w15:chartTrackingRefBased/>
  <w15:docId w15:val="{9B541368-0876-4C02-B59C-C6283CD48F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48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48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48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48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48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48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48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48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48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48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48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48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48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48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48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48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48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48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48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48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48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48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48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48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48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48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48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48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48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>
  <Application>Microsoft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10.6 Business Capability Analysis</dc:title>
  <dc:creator>Business Analyst Services</dc:creator>
  <cp:lastModifiedBy>Business Analyst Services</cp:lastModifiedBy>
</cp:coreProperties>
</file>