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40" w:line="252" w:lineRule="auto"/>
      </w:pPr>
      <w:r>
        <w:rPr>
          <w:rFonts w:ascii="Aptos" w:hAnsi="Aptos"/>
          <w:b/>
          <w:color w:val="0B0B0B"/>
          <w:sz w:val="42"/>
        </w:rPr>
        <w:t xml:space="preserve">10.7  Business Cases</w:t>
      </w:r>
    </w:p>
    <w:p>
      <w:pPr>
        <w:pBdr>
          <w:bottom w:val="single" w:sz="6" w:color="D9D8D0"/>
        </w:pBdr>
        <w:spacing w:before="0" w:after="200" w:line="252" w:lineRule="auto"/>
      </w:pPr>
      <w:r>
        <w:rPr>
          <w:rFonts w:ascii="Aptos" w:hAnsi="Aptos"/>
          <w:color w:val="6B6A66"/>
          <w:sz w:val="20"/>
        </w:rPr>
        <w:t xml:space="preserve">Valuation and decision</w:t>
      </w:r>
    </w:p>
    <w:p>
      <w:pPr>
        <w:spacing w:before="0" w:after="40" w:line="252" w:lineRule="auto"/>
      </w:pPr>
      <w:r>
        <w:rPr>
          <w:rFonts w:ascii="Aptos" w:hAnsi="Aptos"/>
          <w:b/>
          <w:caps/>
          <w:color w:val="6B6A66"/>
          <w:sz w:val="16"/>
          <w:spacing w:val="20"/>
        </w:rPr>
        <w:t xml:space="preserve">What it is for</w:t>
      </w:r>
    </w:p>
    <w:p>
      <w:pPr>
        <w:spacing w:before="0" w:after="160" w:line="252" w:lineRule="auto"/>
      </w:pPr>
      <w:r>
        <w:rPr>
          <w:rFonts w:ascii="Aptos" w:hAnsi="Aptos"/>
          <w:color w:val="0B0B0B"/>
          <w:sz w:val="20"/>
        </w:rPr>
        <w:t xml:space="preserve">Assembles the justification for a change: the need, the options considered, the recommended option and what it is expected to be worth.</w:t>
      </w:r>
    </w:p>
    <w:p>
      <w:pPr>
        <w:spacing w:before="0" w:after="40" w:line="252" w:lineRule="auto"/>
      </w:pPr>
      <w:r>
        <w:rPr>
          <w:rFonts w:ascii="Aptos" w:hAnsi="Aptos"/>
          <w:b/>
          <w:caps/>
          <w:color w:val="6B6A66"/>
          <w:sz w:val="16"/>
          <w:spacing w:val="20"/>
        </w:rPr>
        <w:t xml:space="preserve">Reach for it when</w:t>
      </w:r>
    </w:p>
    <w:p>
      <w:pPr>
        <w:spacing w:before="0" w:after="160" w:line="252" w:lineRule="auto"/>
      </w:pPr>
      <w:r>
        <w:rPr>
          <w:rFonts w:ascii="Aptos" w:hAnsi="Aptos"/>
          <w:color w:val="0B0B0B"/>
          <w:sz w:val="20"/>
        </w:rPr>
        <w:t xml:space="preserve">Reach for it when a decision-maker has to approve funding and needs the need, the options and the value in one place.</w:t>
      </w:r>
    </w:p>
    <w:p>
      <w:pPr>
        <w:spacing w:before="0" w:after="40" w:line="252" w:lineRule="auto"/>
      </w:pPr>
      <w:r>
        <w:rPr>
          <w:rFonts w:ascii="Aptos" w:hAnsi="Aptos"/>
          <w:b/>
          <w:caps/>
          <w:color w:val="6B6A66"/>
          <w:sz w:val="16"/>
          <w:spacing w:val="20"/>
        </w:rPr>
        <w:t xml:space="preserve">Most often confused with</w:t>
      </w:r>
    </w:p>
    <w:p>
      <w:pPr>
        <w:shd w:val="clear" w:fill="F7F7F5"/>
        <w:spacing w:before="0" w:after="200" w:line="252" w:lineRule="auto"/>
      </w:pPr>
      <w:r>
        <w:rPr>
          <w:rFonts w:ascii="Aptos" w:hAnsi="Aptos"/>
          <w:color w:val="0B0B0B"/>
          <w:sz w:val="20"/>
        </w:rPr>
        <w:t xml:space="preserve">The business case is the container; financial analysis is one of its contents. An item that turns on how the return was calculated is financial analysis, while one that turns on whether the recommendation was justified at all is the business case.</w:t>
      </w:r>
    </w:p>
    <w:p>
      <w:pPr>
        <w:spacing w:before="160" w:after="40" w:line="252" w:lineRule="auto"/>
      </w:pPr>
      <w:r>
        <w:rPr>
          <w:rFonts w:ascii="Aptos" w:hAnsi="Aptos"/>
          <w:b/>
          <w:color w:val="184F95"/>
          <w:sz w:val="18"/>
          <w:spacing w:val="20"/>
        </w:rPr>
        <w:t xml:space="preserve">BLANK TEMPLATE — FILL THIS ONE IN</w:t>
      </w:r>
    </w:p>
    <w:p>
      <w:pPr>
        <w:spacing w:before="0" w:after="120" w:line="252" w:lineRule="auto"/>
      </w:pPr>
      <w:r>
        <w:rPr>
          <w:rFonts w:ascii="Aptos" w:hAnsi="Aptos"/>
          <w:b/>
          <w:color w:val="0B0B0B"/>
          <w:sz w:val="24"/>
        </w:rPr>
        <w:t xml:space="preserve">Business Cases — blank template</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2707"/>
        <w:gridCol w:w="1368"/>
      </w:tblGrid>
      <w:tr>
        <w:trPr>
          <w:tblHeader/>
        </w:trPr>
        <w:tc>
          <w:tcPr>
            <w:tcW w:w="2707"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Block</w:t>
            </w:r>
          </w:p>
        </w:tc>
        <w:tc>
          <w:tcPr>
            <w:tcW w:w="136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Content</w:t>
            </w: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Need</w:t>
            </w:r>
          </w:p>
        </w:tc>
        <w:tc>
          <w:tcPr>
            <w:tcW w:w="1368" w:type="dxa"/>
            <w:shd w:val="clear" w:fill="FFFFFF"/>
            <w:tcMar>
              <w:top w:w="72" w:type="dxa"/>
              <w:left w:w="108" w:type="dxa"/>
              <w:bottom w:w="72" w:type="dxa"/>
              <w:right w:w="108" w:type="dxa"/>
            </w:tcMar>
            <w:vAlign w:val="top"/>
          </w:tcPr>
          <w:p>
            <w:pPr>
              <w:spacing w:before="0" w:after="0" w:line="252" w:lineRule="auto"/>
            </w:pP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Options considered</w:t>
            </w:r>
          </w:p>
        </w:tc>
        <w:tc>
          <w:tcPr>
            <w:tcW w:w="1368" w:type="dxa"/>
            <w:shd w:val="clear" w:fill="F7F7F5"/>
            <w:tcMar>
              <w:top w:w="72" w:type="dxa"/>
              <w:left w:w="108" w:type="dxa"/>
              <w:bottom w:w="72" w:type="dxa"/>
              <w:right w:w="108" w:type="dxa"/>
            </w:tcMar>
            <w:vAlign w:val="top"/>
          </w:tcPr>
          <w:p>
            <w:pPr>
              <w:spacing w:before="0" w:after="0" w:line="252" w:lineRule="auto"/>
            </w:pP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Why replace</w:t>
            </w:r>
          </w:p>
        </w:tc>
        <w:tc>
          <w:tcPr>
            <w:tcW w:w="1368" w:type="dxa"/>
            <w:shd w:val="clear" w:fill="FFFFFF"/>
            <w:tcMar>
              <w:top w:w="72" w:type="dxa"/>
              <w:left w:w="108" w:type="dxa"/>
              <w:bottom w:w="72" w:type="dxa"/>
              <w:right w:w="108" w:type="dxa"/>
            </w:tcMar>
            <w:vAlign w:val="top"/>
          </w:tcPr>
          <w:p>
            <w:pPr>
              <w:spacing w:before="0" w:after="0" w:line="252" w:lineRule="auto"/>
            </w:pP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Value</w:t>
            </w:r>
          </w:p>
        </w:tc>
        <w:tc>
          <w:tcPr>
            <w:tcW w:w="1368" w:type="dxa"/>
            <w:shd w:val="clear" w:fill="F7F7F5"/>
            <w:tcMar>
              <w:top w:w="72" w:type="dxa"/>
              <w:left w:w="108" w:type="dxa"/>
              <w:bottom w:w="72" w:type="dxa"/>
              <w:right w:w="108" w:type="dxa"/>
            </w:tcMar>
            <w:vAlign w:val="top"/>
          </w:tcPr>
          <w:p>
            <w:pPr>
              <w:spacing w:before="0" w:after="0" w:line="252" w:lineRule="auto"/>
            </w:pPr>
          </w:p>
        </w:tc>
      </w:tr>
      <w:tr>
        <w:tc>
          <w:tcPr>
            <w:tcW w:w="2707"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Risks</w:t>
            </w:r>
          </w:p>
        </w:tc>
        <w:tc>
          <w:tcPr>
            <w:tcW w:w="1368" w:type="dxa"/>
            <w:shd w:val="clear" w:fill="FFFFFF"/>
            <w:tcMar>
              <w:top w:w="72" w:type="dxa"/>
              <w:left w:w="108" w:type="dxa"/>
              <w:bottom w:w="72" w:type="dxa"/>
              <w:right w:w="108" w:type="dxa"/>
            </w:tcMar>
            <w:vAlign w:val="top"/>
          </w:tcPr>
          <w:p>
            <w:pPr>
              <w:spacing w:before="0" w:after="0" w:line="252" w:lineRule="auto"/>
            </w:pPr>
          </w:p>
        </w:tc>
      </w:tr>
      <w:tr>
        <w:tc>
          <w:tcPr>
            <w:tcW w:w="2707"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Timing</w:t>
            </w:r>
          </w:p>
        </w:tc>
        <w:tc>
          <w:tcPr>
            <w:tcW w:w="1368" w:type="dxa"/>
            <w:shd w:val="clear" w:fill="F7F7F5"/>
            <w:tcMar>
              <w:top w:w="72" w:type="dxa"/>
              <w:left w:w="108" w:type="dxa"/>
              <w:bottom w:w="72" w:type="dxa"/>
              <w:right w:w="108" w:type="dxa"/>
            </w:tcMar>
            <w:vAlign w:val="top"/>
          </w:tcPr>
          <w:p>
            <w:pPr>
              <w:spacing w:before="0" w:after="0" w:line="252" w:lineRule="auto"/>
            </w:pPr>
          </w:p>
        </w:tc>
      </w:tr>
    </w:tbl>
    <w:p>
      <w:pPr>
        <w:spacing w:before="0" w:after="120" w:line="252" w:lineRule="auto"/>
      </w:pPr>
    </w:p>
    <w:p>
      <w:pPr>
        <w:spacing w:before="0" w:after="160" w:line="252" w:lineRule="auto"/>
      </w:pPr>
      <w:r>
        <w:rPr>
          <w:rFonts w:ascii="Aptos" w:hAnsi="Aptos"/>
          <w:i/>
          <w:color w:val="6B6A66"/>
          <w:sz w:val="18"/>
        </w:rPr>
        <w:t xml:space="preserve">Panels are fixed. An empty panel is a finding, not an omission.</w:t>
      </w:r>
    </w:p>
    <w:p>
      <w:pPr>
        <w:spacing w:before="120" w:after="80" w:line="252" w:lineRule="auto"/>
      </w:pPr>
      <w:r>
        <w:rPr>
          <w:rFonts w:ascii="Aptos" w:hAnsi="Aptos"/>
          <w:color w:val="6B6A66"/>
          <w:sz w:val="18"/>
        </w:rPr>
        <w:t xml:space="preserve">Tasks that use it: 6.4 Define Change Strategy  ·  6.2 Define Future State  ·  7.6 Analyze Potential Value and Recommend Solution</w:t>
      </w:r>
    </w:p>
    <w:p>
      <w:pPr>
        <w:spacing w:before="200" w:after="80" w:line="252" w:lineRule="auto"/>
      </w:pPr>
      <w:r>
        <w:rPr>
          <w:rFonts w:ascii="Aptos" w:hAnsi="Aptos"/>
          <w:color w:val="6B6A66"/>
          <w:sz w:val="16"/>
        </w:rPr>
        <w:t xml:space="preserve">CBAP® Technique Pack · BABOK® Guide v3 · business-analyst.services · not affiliated with IIBA®</w:t>
      </w:r>
    </w:p>
    <w:sectPr>
      <w:pgSz w:w="16838" w:h="11906" w:orient="landscape"/>
      <w:pgMar w:top="864" w:right="864" w:bottom="864" w:left="864"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2B"/>
    <w:rsid w:val="003E2EAC"/>
    <w:rsid w:val="00EF482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9B495"/>
  <w15:chartTrackingRefBased/>
  <w15:docId w15:val="{9B541368-0876-4C02-B59C-C6283CD4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82B"/>
    <w:rPr>
      <w:rFonts w:eastAsiaTheme="majorEastAsia" w:cstheme="majorBidi"/>
      <w:color w:val="272727" w:themeColor="text1" w:themeTint="D8"/>
    </w:rPr>
  </w:style>
  <w:style w:type="paragraph" w:styleId="Title">
    <w:name w:val="Title"/>
    <w:basedOn w:val="Normal"/>
    <w:next w:val="Normal"/>
    <w:link w:val="TitleChar"/>
    <w:uiPriority w:val="10"/>
    <w:qFormat/>
    <w:rsid w:val="00EF4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82B"/>
    <w:pPr>
      <w:spacing w:before="160"/>
      <w:jc w:val="center"/>
    </w:pPr>
    <w:rPr>
      <w:i/>
      <w:iCs/>
      <w:color w:val="404040" w:themeColor="text1" w:themeTint="BF"/>
    </w:rPr>
  </w:style>
  <w:style w:type="character" w:customStyle="1" w:styleId="QuoteChar">
    <w:name w:val="Quote Char"/>
    <w:basedOn w:val="DefaultParagraphFont"/>
    <w:link w:val="Quote"/>
    <w:uiPriority w:val="29"/>
    <w:rsid w:val="00EF482B"/>
    <w:rPr>
      <w:i/>
      <w:iCs/>
      <w:color w:val="404040" w:themeColor="text1" w:themeTint="BF"/>
    </w:rPr>
  </w:style>
  <w:style w:type="paragraph" w:styleId="ListParagraph">
    <w:name w:val="List Paragraph"/>
    <w:basedOn w:val="Normal"/>
    <w:uiPriority w:val="34"/>
    <w:qFormat/>
    <w:rsid w:val="00EF482B"/>
    <w:pPr>
      <w:ind w:left="720"/>
      <w:contextualSpacing/>
    </w:pPr>
  </w:style>
  <w:style w:type="character" w:styleId="IntenseEmphasis">
    <w:name w:val="Intense Emphasis"/>
    <w:basedOn w:val="DefaultParagraphFont"/>
    <w:uiPriority w:val="21"/>
    <w:qFormat/>
    <w:rsid w:val="00EF482B"/>
    <w:rPr>
      <w:i/>
      <w:iCs/>
      <w:color w:val="0F4761" w:themeColor="accent1" w:themeShade="BF"/>
    </w:rPr>
  </w:style>
  <w:style w:type="paragraph" w:styleId="IntenseQuote">
    <w:name w:val="Intense Quote"/>
    <w:basedOn w:val="Normal"/>
    <w:next w:val="Normal"/>
    <w:link w:val="IntenseQuoteChar"/>
    <w:uiPriority w:val="30"/>
    <w:qFormat/>
    <w:rsid w:val="00EF4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82B"/>
    <w:rPr>
      <w:i/>
      <w:iCs/>
      <w:color w:val="0F4761" w:themeColor="accent1" w:themeShade="BF"/>
    </w:rPr>
  </w:style>
  <w:style w:type="character" w:styleId="IntenseReference">
    <w:name w:val="Intense Reference"/>
    <w:basedOn w:val="DefaultParagraphFont"/>
    <w:uiPriority w:val="32"/>
    <w:qFormat/>
    <w:rsid w:val="00EF4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10.7 Business Cases</dc:title>
  <dc:creator>Business Analyst Services</dc:creator>
  <cp:lastModifiedBy>Business Analyst Services</cp:lastModifiedBy>
</cp:coreProperties>
</file>