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0" w:after="40" w:line="252" w:lineRule="auto"/>
      </w:pPr>
      <w:r>
        <w:rPr>
          <w:rFonts w:ascii="Aptos" w:hAnsi="Aptos"/>
          <w:b/>
          <w:color w:val="0B0B0B"/>
          <w:sz w:val="42"/>
        </w:rPr>
        <w:t xml:space="preserve">10.20  Financial Analysis</w:t>
      </w:r>
    </w:p>
    <w:p>
      <w:pPr>
        <w:pBdr>
          <w:bottom w:val="single" w:sz="6" w:color="D9D8D0"/>
        </w:pBdr>
        <w:spacing w:before="0" w:after="200" w:line="252" w:lineRule="auto"/>
      </w:pPr>
      <w:r>
        <w:rPr>
          <w:rFonts w:ascii="Aptos" w:hAnsi="Aptos"/>
          <w:color w:val="6B6A66"/>
          <w:sz w:val="20"/>
        </w:rPr>
        <w:t xml:space="preserve">Valuation and decision</w:t>
      </w:r>
    </w:p>
    <w:p>
      <w:pPr>
        <w:spacing w:before="0" w:after="40" w:line="252" w:lineRule="auto"/>
      </w:pPr>
      <w:r>
        <w:rPr>
          <w:rFonts w:ascii="Aptos" w:hAnsi="Aptos"/>
          <w:b/>
          <w:caps/>
          <w:color w:val="6B6A66"/>
          <w:sz w:val="16"/>
          <w:spacing w:val="20"/>
        </w:rPr>
        <w:t xml:space="preserve">What it is for</w:t>
      </w:r>
    </w:p>
    <w:p>
      <w:pPr>
        <w:spacing w:before="0" w:after="160" w:line="252" w:lineRule="auto"/>
      </w:pPr>
      <w:r>
        <w:rPr>
          <w:rFonts w:ascii="Aptos" w:hAnsi="Aptos"/>
          <w:color w:val="0B0B0B"/>
          <w:sz w:val="20"/>
        </w:rPr>
        <w:t xml:space="preserve">Puts a monetary frame around a change: what it costs, what it returns, when the return arrives and what the money is worth once timing and risk are accounted for.</w:t>
      </w:r>
    </w:p>
    <w:p>
      <w:pPr>
        <w:spacing w:before="0" w:after="40" w:line="252" w:lineRule="auto"/>
      </w:pPr>
      <w:r>
        <w:rPr>
          <w:rFonts w:ascii="Aptos" w:hAnsi="Aptos"/>
          <w:b/>
          <w:caps/>
          <w:color w:val="6B6A66"/>
          <w:sz w:val="16"/>
          <w:spacing w:val="20"/>
        </w:rPr>
        <w:t xml:space="preserve">Reach for it when</w:t>
      </w:r>
    </w:p>
    <w:p>
      <w:pPr>
        <w:spacing w:before="0" w:after="160" w:line="252" w:lineRule="auto"/>
      </w:pPr>
      <w:r>
        <w:rPr>
          <w:rFonts w:ascii="Aptos" w:hAnsi="Aptos"/>
          <w:color w:val="0B0B0B"/>
          <w:sz w:val="20"/>
        </w:rPr>
        <w:t xml:space="preserve">Reach for it whenever an option has to be justified in money, or when two options differ mainly in the timing of their costs and benefits rather than in their size.</w:t>
      </w:r>
    </w:p>
    <w:p>
      <w:pPr>
        <w:spacing w:before="0" w:after="40" w:line="252" w:lineRule="auto"/>
      </w:pPr>
      <w:r>
        <w:rPr>
          <w:rFonts w:ascii="Aptos" w:hAnsi="Aptos"/>
          <w:b/>
          <w:caps/>
          <w:color w:val="6B6A66"/>
          <w:sz w:val="16"/>
          <w:spacing w:val="20"/>
        </w:rPr>
        <w:t xml:space="preserve">Most often confused with</w:t>
      </w:r>
    </w:p>
    <w:p>
      <w:pPr>
        <w:shd w:val="clear" w:fill="F7F7F5"/>
        <w:spacing w:before="0" w:after="200" w:line="252" w:lineRule="auto"/>
      </w:pPr>
      <w:r>
        <w:rPr>
          <w:rFonts w:ascii="Aptos" w:hAnsi="Aptos"/>
          <w:color w:val="0B0B0B"/>
          <w:sz w:val="20"/>
        </w:rPr>
        <w:t xml:space="preserve">Financial analysis values what is already forecast; estimation produces the forecast. And a positive return is not the same as the best option: the exam repeatedly offers an option that is profitable but beaten by an alternative.</w:t>
      </w:r>
    </w:p>
    <w:p>
      <w:pPr>
        <w:spacing w:before="160" w:after="40" w:line="252" w:lineRule="auto"/>
      </w:pPr>
      <w:r>
        <w:rPr>
          <w:rFonts w:ascii="Aptos" w:hAnsi="Aptos"/>
          <w:b/>
          <w:color w:val="184F95"/>
          <w:sz w:val="18"/>
          <w:spacing w:val="20"/>
        </w:rPr>
        <w:t xml:space="preserve">WORKED EXAMPLE</w:t>
      </w:r>
    </w:p>
    <w:p>
      <w:pPr>
        <w:spacing w:before="0" w:after="120" w:line="252" w:lineRule="auto"/>
      </w:pPr>
      <w:r>
        <w:rPr>
          <w:rFonts w:ascii="Aptos" w:hAnsi="Aptos"/>
          <w:b/>
          <w:color w:val="0B0B0B"/>
          <w:sz w:val="24"/>
        </w:rPr>
        <w:t xml:space="preserve">Which measure answers which question</w:t>
      </w:r>
    </w:p>
    <w:tbl>
      <w:tblPr>
        <w:tblW w:w="0" w:type="auto"/>
        <w:tblBorders>
          <w:top w:val="single" w:sz="6" w:space="0" w:color="D9D8D0"/>
          <w:left w:val="single" w:sz="6" w:space="0" w:color="D9D8D0"/>
          <w:bottom w:val="single" w:sz="6" w:space="0" w:color="D9D8D0"/>
          <w:right w:val="single" w:sz="6" w:space="0" w:color="D9D8D0"/>
          <w:insideH w:val="single" w:sz="6" w:space="0" w:color="D9D8D0"/>
          <w:insideV w:val="single" w:sz="6" w:space="0" w:color="D9D8D0"/>
        </w:tblBorders>
        <w:tblLayout w:type="fixed"/>
      </w:tblPr>
      <w:tblGrid>
        <w:gridCol w:w="3082"/>
        <w:gridCol w:w="4896"/>
        <w:gridCol w:w="4896"/>
      </w:tblGrid>
      <w:tr>
        <w:trPr>
          <w:tblHeader/>
        </w:trPr>
        <w:tc>
          <w:tcPr>
            <w:tcW w:w="3082"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Measure \ Use it when</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It answers</w:t>
            </w:r>
          </w:p>
        </w:tc>
        <w:tc>
          <w:tcPr>
            <w:tcW w:w="4896" w:type="dxa"/>
            <w:shd w:val="clear" w:fill="2A78D6"/>
            <w:tcMar>
              <w:top w:w="72" w:type="dxa"/>
              <w:left w:w="108" w:type="dxa"/>
              <w:bottom w:w="72" w:type="dxa"/>
              <w:right w:w="108" w:type="dxa"/>
            </w:tcMar>
            <w:vAlign w:val="center"/>
          </w:tcPr>
          <w:p>
            <w:pPr>
              <w:spacing w:before="0" w:after="0" w:line="252" w:lineRule="auto"/>
            </w:pPr>
            <w:r>
              <w:rPr>
                <w:rFonts w:ascii="Aptos" w:hAnsi="Aptos"/>
                <w:b/>
                <w:color w:val="FFFFFF"/>
                <w:sz w:val="18"/>
              </w:rPr>
              <w:t xml:space="preserve">It cannot answer</w:t>
            </w:r>
          </w:p>
        </w:tc>
      </w:tr>
      <w:tr>
        <w:tc>
          <w:tcPr>
            <w:tcW w:w="308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NPV</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Is this worth more than it costs, allowing for timing?</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How long is our cash exposed?</w:t>
            </w:r>
          </w:p>
        </w:tc>
      </w:tr>
      <w:tr>
        <w:tc>
          <w:tcPr>
            <w:tcW w:w="308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Payback</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How long until we get the money back?</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Anything after break-even — where the value often is</w:t>
            </w:r>
          </w:p>
        </w:tc>
      </w:tr>
      <w:tr>
        <w:tc>
          <w:tcPr>
            <w:tcW w:w="3082"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ROI</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How efficient is each dollar invested?</w:t>
            </w:r>
          </w:p>
        </w:tc>
        <w:tc>
          <w:tcPr>
            <w:tcW w:w="4896" w:type="dxa"/>
            <w:shd w:val="clear" w:fill="FFFFFF"/>
            <w:tcMar>
              <w:top w:w="72" w:type="dxa"/>
              <w:left w:w="108" w:type="dxa"/>
              <w:bottom w:w="72" w:type="dxa"/>
              <w:right w:w="108" w:type="dxa"/>
            </w:tcMar>
            <w:vAlign w:val="top"/>
          </w:tcPr>
          <w:p>
            <w:pPr>
              <w:spacing w:before="0" w:after="0" w:line="252" w:lineRule="auto"/>
            </w:pPr>
            <w:r>
              <w:rPr>
                <w:rFonts w:ascii="Aptos" w:hAnsi="Aptos"/>
                <w:color w:val="0B0B0B"/>
                <w:sz w:val="18"/>
              </w:rPr>
              <w:t xml:space="preserve">How big the prize is — it is a ratio</w:t>
            </w:r>
          </w:p>
        </w:tc>
      </w:tr>
      <w:tr>
        <w:tc>
          <w:tcPr>
            <w:tcW w:w="3082"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IRR</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Does it beat what our capital costs?</w:t>
            </w:r>
          </w:p>
        </w:tc>
        <w:tc>
          <w:tcPr>
            <w:tcW w:w="4896" w:type="dxa"/>
            <w:shd w:val="clear" w:fill="F7F7F5"/>
            <w:tcMar>
              <w:top w:w="72" w:type="dxa"/>
              <w:left w:w="108" w:type="dxa"/>
              <w:bottom w:w="72" w:type="dxa"/>
              <w:right w:w="108" w:type="dxa"/>
            </w:tcMar>
            <w:vAlign w:val="top"/>
          </w:tcPr>
          <w:p>
            <w:pPr>
              <w:spacing w:before="0" w:after="0" w:line="252" w:lineRule="auto"/>
            </w:pPr>
            <w:r>
              <w:rPr>
                <w:rFonts w:ascii="Aptos" w:hAnsi="Aptos"/>
                <w:color w:val="0B0B0B"/>
                <w:sz w:val="18"/>
              </w:rPr>
              <w:t xml:space="preserve">How much value in dollars</w:t>
            </w:r>
          </w:p>
        </w:tc>
      </w:tr>
    </w:tbl>
    <w:p>
      <w:pPr>
        <w:spacing w:before="0" w:after="120" w:line="252" w:lineRule="auto"/>
      </w:pPr>
    </w:p>
    <w:p>
      <w:pPr>
        <w:spacing w:before="0" w:after="160" w:line="252" w:lineRule="auto"/>
      </w:pPr>
      <w:r>
        <w:rPr>
          <w:rFonts w:ascii="Aptos" w:hAnsi="Aptos"/>
          <w:i/>
          <w:color w:val="6B6A66"/>
          <w:sz w:val="18"/>
        </w:rPr>
        <w:t xml:space="preserve">The eight blocks below work each of these through with figures.</w:t>
      </w:r>
    </w:p>
    <w:p>
      <w:pPr>
        <w:spacing w:before="120" w:after="80" w:line="252" w:lineRule="auto"/>
      </w:pPr>
      <w:r>
        <w:rPr>
          <w:rFonts w:ascii="Aptos" w:hAnsi="Aptos"/>
          <w:color w:val="6B6A66"/>
          <w:sz w:val="18"/>
        </w:rPr>
        <w:t xml:space="preserve">Tasks that use it: 6.4 Define Change Strategy  ·  7.6 Analyze Potential Value and Recommend Solution  ·  8.5 Recommend Actions to Increase Solution Value</w:t>
      </w:r>
    </w:p>
    <w:p>
      <w:pPr>
        <w:spacing w:before="200" w:after="80" w:line="252" w:lineRule="auto"/>
      </w:pPr>
      <w:r>
        <w:rPr>
          <w:rFonts w:ascii="Aptos" w:hAnsi="Aptos"/>
          <w:color w:val="6B6A66"/>
          <w:sz w:val="16"/>
        </w:rPr>
        <w:t xml:space="preserve">CBAP® Technique Pack · BABOK® Guide v3 · business-analyst.services · not affiliated with IIBA®</w:t>
      </w:r>
    </w:p>
    <w:sectPr>
      <w:pgSz w:w="16838" w:h="11906" w:orient="landscape"/>
      <w:pgMar w:top="864" w:right="864" w:bottom="864" w:left="864"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2B"/>
    <w:rsid w:val="003E2EAC"/>
    <w:rsid w:val="00EF482B"/>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9B495"/>
  <w15:chartTrackingRefBased/>
  <w15:docId w15:val="{9B541368-0876-4C02-B59C-C6283CD4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8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8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8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8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8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8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8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8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82B"/>
    <w:rPr>
      <w:rFonts w:eastAsiaTheme="majorEastAsia" w:cstheme="majorBidi"/>
      <w:color w:val="272727" w:themeColor="text1" w:themeTint="D8"/>
    </w:rPr>
  </w:style>
  <w:style w:type="paragraph" w:styleId="Title">
    <w:name w:val="Title"/>
    <w:basedOn w:val="Normal"/>
    <w:next w:val="Normal"/>
    <w:link w:val="TitleChar"/>
    <w:uiPriority w:val="10"/>
    <w:qFormat/>
    <w:rsid w:val="00EF4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82B"/>
    <w:pPr>
      <w:spacing w:before="160"/>
      <w:jc w:val="center"/>
    </w:pPr>
    <w:rPr>
      <w:i/>
      <w:iCs/>
      <w:color w:val="404040" w:themeColor="text1" w:themeTint="BF"/>
    </w:rPr>
  </w:style>
  <w:style w:type="character" w:customStyle="1" w:styleId="QuoteChar">
    <w:name w:val="Quote Char"/>
    <w:basedOn w:val="DefaultParagraphFont"/>
    <w:link w:val="Quote"/>
    <w:uiPriority w:val="29"/>
    <w:rsid w:val="00EF482B"/>
    <w:rPr>
      <w:i/>
      <w:iCs/>
      <w:color w:val="404040" w:themeColor="text1" w:themeTint="BF"/>
    </w:rPr>
  </w:style>
  <w:style w:type="paragraph" w:styleId="ListParagraph">
    <w:name w:val="List Paragraph"/>
    <w:basedOn w:val="Normal"/>
    <w:uiPriority w:val="34"/>
    <w:qFormat/>
    <w:rsid w:val="00EF482B"/>
    <w:pPr>
      <w:ind w:left="720"/>
      <w:contextualSpacing/>
    </w:pPr>
  </w:style>
  <w:style w:type="character" w:styleId="IntenseEmphasis">
    <w:name w:val="Intense Emphasis"/>
    <w:basedOn w:val="DefaultParagraphFont"/>
    <w:uiPriority w:val="21"/>
    <w:qFormat/>
    <w:rsid w:val="00EF482B"/>
    <w:rPr>
      <w:i/>
      <w:iCs/>
      <w:color w:val="0F4761" w:themeColor="accent1" w:themeShade="BF"/>
    </w:rPr>
  </w:style>
  <w:style w:type="paragraph" w:styleId="IntenseQuote">
    <w:name w:val="Intense Quote"/>
    <w:basedOn w:val="Normal"/>
    <w:next w:val="Normal"/>
    <w:link w:val="IntenseQuoteChar"/>
    <w:uiPriority w:val="30"/>
    <w:qFormat/>
    <w:rsid w:val="00EF4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82B"/>
    <w:rPr>
      <w:i/>
      <w:iCs/>
      <w:color w:val="0F4761" w:themeColor="accent1" w:themeShade="BF"/>
    </w:rPr>
  </w:style>
  <w:style w:type="character" w:styleId="IntenseReference">
    <w:name w:val="Intense Reference"/>
    <w:basedOn w:val="DefaultParagraphFont"/>
    <w:uiPriority w:val="32"/>
    <w:qFormat/>
    <w:rsid w:val="00EF48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10.20 Financial Analysis</dc:title>
  <dc:creator>Business Analyst Services</dc:creator>
  <cp:lastModifiedBy>Business Analyst Services</cp:lastModifiedBy>
</cp:coreProperties>
</file>