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10.25  Interviews</w:t>
      </w:r>
    </w:p>
    <w:p>
      <w:pPr>
        <w:pBdr>
          <w:bottom w:val="single" w:sz="6" w:color="D9D8D0"/>
        </w:pBdr>
        <w:spacing w:before="0" w:after="200" w:line="252" w:lineRule="auto"/>
      </w:pPr>
      <w:r>
        <w:rPr>
          <w:rFonts w:ascii="Aptos" w:hAnsi="Aptos"/>
          <w:color w:val="6B6A66"/>
          <w:sz w:val="20"/>
        </w:rPr>
        <w:t xml:space="preserve">Elicitation and collaboration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What it is for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Elicits information one-to-one or in a small group through prepared and follow-up questioning.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Reach for it when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Reach for it when the subject is sensitive, the expertise is concentrated in one person, or the group setting would suppress what needs saying.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Most often confused with</w:t>
      </w:r>
    </w:p>
    <w:p>
      <w:pPr>
        <w:shd w:val="clear" w:fill="F7F7F5"/>
        <w:spacing w:before="0" w:after="200" w:line="252" w:lineRule="auto"/>
      </w:pPr>
      <w:r>
        <w:rPr>
          <w:rFonts w:ascii="Aptos" w:hAnsi="Aptos"/>
          <w:color w:val="0B0B0B"/>
          <w:sz w:val="20"/>
        </w:rPr>
        <w:t xml:space="preserve">Interviews go deep with few people; surveys go wide with many. If the scenario needs coverage across hundreds of staff, interviewing them is the wrong instrument however thorough it sounds.</w:t>
      </w:r>
    </w:p>
    <w:p>
      <w:pPr>
        <w:spacing w:before="160" w:after="40" w:line="252" w:lineRule="auto"/>
      </w:pPr>
      <w:r>
        <w:rPr>
          <w:rFonts w:ascii="Aptos" w:hAnsi="Aptos"/>
          <w:b/>
          <w:color w:val="184F95"/>
          <w:sz w:val="18"/>
          <w:spacing w:val="20"/>
        </w:rPr>
        <w:t xml:space="preserve">BLANK TEMPLATE — FILL THIS ONE IN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4"/>
        </w:rPr>
        <w:t xml:space="preserve">Interviews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483"/>
        <w:gridCol w:w="1296"/>
        <w:gridCol w:w="3082"/>
      </w:tblGrid>
      <w:tr>
        <w:trPr>
          <w:tblHeader/>
        </w:trPr>
        <w:tc>
          <w:tcPr>
            <w:tcW w:w="1483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Question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Type</w:t>
            </w:r>
          </w:p>
        </w:tc>
        <w:tc>
          <w:tcPr>
            <w:tcW w:w="3082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Why it is being asked</w:t>
            </w:r>
          </w:p>
        </w:tc>
      </w:tr>
      <w:tr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3082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48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3082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3082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0" w:after="160" w:line="252" w:lineRule="auto"/>
      </w:pPr>
      <w:r>
        <w:rPr>
          <w:rFonts w:ascii="Aptos" w:hAnsi="Aptos"/>
          <w:i/>
          <w:color w:val="6B6A66"/>
          <w:sz w:val="18"/>
        </w:rPr>
        <w:t xml:space="preserve">One row per question.</w:t>
      </w:r>
    </w:p>
    <w:p>
      <w:pPr>
        <w:spacing w:before="120" w:after="80" w:line="252" w:lineRule="auto"/>
      </w:pPr>
      <w:r>
        <w:rPr>
          <w:rFonts w:ascii="Aptos" w:hAnsi="Aptos"/>
          <w:color w:val="6B6A66"/>
          <w:sz w:val="18"/>
        </w:rPr>
        <w:t xml:space="preserve">Tasks that use it: 4.2 Conduct Elicitation  ·  4.1 Prepare for Elicitation  ·  6.1 Analyze Current State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10.25 Interviews</dc:title>
  <dc:creator>Business Analyst Services</dc:creator>
  <cp:lastModifiedBy>Business Analyst Services</cp:lastModifiedBy>
</cp:coreProperties>
</file>