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10.26  Item Tracking</w:t>
      </w:r>
    </w:p>
    <w:p>
      <w:pPr>
        <w:pBdr>
          <w:bottom w:val="single" w:sz="6" w:color="D9D8D0"/>
        </w:pBdr>
        <w:spacing w:before="0" w:after="200" w:line="252" w:lineRule="auto"/>
      </w:pPr>
      <w:r>
        <w:rPr>
          <w:rFonts w:ascii="Aptos" w:hAnsi="Aptos"/>
          <w:color w:val="6B6A66"/>
          <w:sz w:val="20"/>
        </w:rPr>
        <w:t xml:space="preserve">Planning, governance and tracking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What it is for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Captures and follows issues, risks, conflicts and actions through to resolution, with an owner and a status on each.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Reach for it when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Reach for it when things raised in sessions keep going missing, and the failure is one of follow-through rather than analysis.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Most often confused with</w:t>
      </w:r>
    </w:p>
    <w:p>
      <w:pPr>
        <w:shd w:val="clear" w:fill="F7F7F5"/>
        <w:spacing w:before="0" w:after="200" w:line="252" w:lineRule="auto"/>
      </w:pPr>
      <w:r>
        <w:rPr>
          <w:rFonts w:ascii="Aptos" w:hAnsi="Aptos"/>
          <w:color w:val="0B0B0B"/>
          <w:sz w:val="20"/>
        </w:rPr>
        <w:t xml:space="preserve">Item tracking manages open items; risk analysis assesses and responds to risk. A raised concern with no owner is an item; a quantified threat with a response strategy is a risk.</w:t>
      </w:r>
    </w:p>
    <w:p>
      <w:pPr>
        <w:spacing w:before="160" w:after="40" w:line="252" w:lineRule="auto"/>
      </w:pPr>
      <w:r>
        <w:rPr>
          <w:rFonts w:ascii="Aptos" w:hAnsi="Aptos"/>
          <w:b/>
          <w:color w:val="184F95"/>
          <w:sz w:val="18"/>
          <w:spacing w:val="20"/>
        </w:rPr>
        <w:t xml:space="preserve">BLANK TEMPLATE — FILL THIS ONE IN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4"/>
        </w:rPr>
        <w:t xml:space="preserve">Item Tracking — blank template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1296"/>
        <w:gridCol w:w="1368"/>
        <w:gridCol w:w="1296"/>
        <w:gridCol w:w="1296"/>
        <w:gridCol w:w="1296"/>
      </w:tblGrid>
      <w:tr>
        <w:trPr>
          <w:tblHeader/>
        </w:trPr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Raised</w:t>
            </w:r>
          </w:p>
        </w:tc>
        <w:tc>
          <w:tcPr>
            <w:tcW w:w="136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Concern</w:t>
            </w:r>
          </w:p>
        </w:tc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Type</w:t>
            </w:r>
          </w:p>
        </w:tc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Owner</w:t>
            </w:r>
          </w:p>
        </w:tc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Status</w:t>
            </w: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36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36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120" w:line="252" w:lineRule="auto"/>
      </w:pPr>
    </w:p>
    <w:p>
      <w:pPr>
        <w:spacing w:before="0" w:after="160" w:line="252" w:lineRule="auto"/>
      </w:pPr>
      <w:r>
        <w:rPr>
          <w:rFonts w:ascii="Aptos" w:hAnsi="Aptos"/>
          <w:i/>
          <w:color w:val="6B6A66"/>
          <w:sz w:val="18"/>
        </w:rPr>
        <w:t xml:space="preserve">One row per raised.</w:t>
      </w:r>
    </w:p>
    <w:p>
      <w:pPr>
        <w:spacing w:before="120" w:after="80" w:line="252" w:lineRule="auto"/>
      </w:pPr>
      <w:r>
        <w:rPr>
          <w:rFonts w:ascii="Aptos" w:hAnsi="Aptos"/>
          <w:color w:val="6B6A66"/>
          <w:sz w:val="18"/>
        </w:rPr>
        <w:t xml:space="preserve">Tasks that use it: 4.5 Manage Stakeholder Collaboration  ·  5.4 Assess Requirements Changes  ·  3.5 Identify Business Analysis Performance Improvements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10.26 Item Tracking</dc:title>
  <dc:creator>Business Analyst Services</dc:creator>
  <cp:lastModifiedBy>Business Analyst Services</cp:lastModifiedBy>
</cp:coreProperties>
</file>