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40" w:line="252" w:lineRule="auto"/>
      </w:pPr>
      <w:r>
        <w:rPr>
          <w:rFonts w:ascii="Aptos" w:hAnsi="Aptos"/>
          <w:b/>
          <w:color w:val="0B0B0B"/>
          <w:sz w:val="42"/>
        </w:rPr>
        <w:t xml:space="preserve">10.28  Metrics and Key Performance Indicators</w:t>
      </w:r>
    </w:p>
    <w:p>
      <w:pPr>
        <w:pBdr>
          <w:bottom w:val="single" w:sz="6" w:color="D9D8D0"/>
        </w:pBdr>
        <w:spacing w:before="0" w:after="200" w:line="252" w:lineRule="auto"/>
      </w:pPr>
      <w:r>
        <w:rPr>
          <w:rFonts w:ascii="Aptos" w:hAnsi="Aptos"/>
          <w:color w:val="6B6A66"/>
          <w:sz w:val="20"/>
        </w:rPr>
        <w:t xml:space="preserve">Measurement and evaluation</w:t>
      </w:r>
    </w:p>
    <w:p>
      <w:pPr>
        <w:spacing w:before="0" w:after="40" w:line="252" w:lineRule="auto"/>
      </w:pPr>
      <w:r>
        <w:rPr>
          <w:rFonts w:ascii="Aptos" w:hAnsi="Aptos"/>
          <w:b/>
          <w:caps/>
          <w:color w:val="6B6A66"/>
          <w:sz w:val="16"/>
          <w:spacing w:val="20"/>
        </w:rPr>
        <w:t xml:space="preserve">What it is for</w:t>
      </w:r>
    </w:p>
    <w:p>
      <w:pPr>
        <w:spacing w:before="0" w:after="160" w:line="252" w:lineRule="auto"/>
      </w:pPr>
      <w:r>
        <w:rPr>
          <w:rFonts w:ascii="Aptos" w:hAnsi="Aptos"/>
          <w:color w:val="0B0B0B"/>
          <w:sz w:val="20"/>
        </w:rPr>
        <w:t xml:space="preserve">Defines what will be measured, how, how often and against what target, so performance can be judged rather than asserted.</w:t>
      </w:r>
    </w:p>
    <w:p>
      <w:pPr>
        <w:spacing w:before="0" w:after="40" w:line="252" w:lineRule="auto"/>
      </w:pPr>
      <w:r>
        <w:rPr>
          <w:rFonts w:ascii="Aptos" w:hAnsi="Aptos"/>
          <w:b/>
          <w:caps/>
          <w:color w:val="6B6A66"/>
          <w:sz w:val="16"/>
          <w:spacing w:val="20"/>
        </w:rPr>
        <w:t xml:space="preserve">Reach for it when</w:t>
      </w:r>
    </w:p>
    <w:p>
      <w:pPr>
        <w:spacing w:before="0" w:after="160" w:line="252" w:lineRule="auto"/>
      </w:pPr>
      <w:r>
        <w:rPr>
          <w:rFonts w:ascii="Aptos" w:hAnsi="Aptos"/>
          <w:color w:val="0B0B0B"/>
          <w:sz w:val="20"/>
        </w:rPr>
        <w:t xml:space="preserve">Reach for it when success has been described in adjectives, or when data is being collected that nobody has tied to an objective.</w:t>
      </w:r>
    </w:p>
    <w:p>
      <w:pPr>
        <w:spacing w:before="0" w:after="40" w:line="252" w:lineRule="auto"/>
      </w:pPr>
      <w:r>
        <w:rPr>
          <w:rFonts w:ascii="Aptos" w:hAnsi="Aptos"/>
          <w:b/>
          <w:caps/>
          <w:color w:val="6B6A66"/>
          <w:sz w:val="16"/>
          <w:spacing w:val="20"/>
        </w:rPr>
        <w:t xml:space="preserve">Most often confused with</w:t>
      </w:r>
    </w:p>
    <w:p>
      <w:pPr>
        <w:shd w:val="clear" w:fill="F7F7F5"/>
        <w:spacing w:before="0" w:after="200" w:line="252" w:lineRule="auto"/>
      </w:pPr>
      <w:r>
        <w:rPr>
          <w:rFonts w:ascii="Aptos" w:hAnsi="Aptos"/>
          <w:color w:val="0B0B0B"/>
          <w:sz w:val="20"/>
        </w:rPr>
        <w:t xml:space="preserve">A metric is a raw measure; a KPI is a metric tied to an objective with a target. An indicator that nobody would act on is a metric, not a KPI, however prominently it is displayed.</w:t>
      </w:r>
    </w:p>
    <w:p>
      <w:pPr>
        <w:spacing w:before="160" w:after="40" w:line="252" w:lineRule="auto"/>
      </w:pPr>
      <w:r>
        <w:rPr>
          <w:rFonts w:ascii="Aptos" w:hAnsi="Aptos"/>
          <w:b/>
          <w:color w:val="184F95"/>
          <w:sz w:val="18"/>
          <w:spacing w:val="20"/>
        </w:rPr>
        <w:t xml:space="preserve">BLANK TEMPLATE — FILL THIS ONE IN</w:t>
      </w:r>
    </w:p>
    <w:p>
      <w:pPr>
        <w:spacing w:before="0" w:after="120" w:line="252" w:lineRule="auto"/>
      </w:pPr>
      <w:r>
        <w:rPr>
          <w:rFonts w:ascii="Aptos" w:hAnsi="Aptos"/>
          <w:b/>
          <w:color w:val="0B0B0B"/>
          <w:sz w:val="24"/>
        </w:rPr>
        <w:t xml:space="preserve">Metrics and Key Performance Indicators — blank template</w:t>
      </w:r>
    </w:p>
    <w:tbl>
      <w:tblPr>
        <w:tblW w:w="0" w:type="auto"/>
        <w:tblBorders>
          <w:top w:val="single" w:sz="6" w:space="0" w:color="D9D8D0"/>
          <w:left w:val="single" w:sz="6" w:space="0" w:color="D9D8D0"/>
          <w:bottom w:val="single" w:sz="6" w:space="0" w:color="D9D8D0"/>
          <w:right w:val="single" w:sz="6" w:space="0" w:color="D9D8D0"/>
          <w:insideH w:val="single" w:sz="6" w:space="0" w:color="D9D8D0"/>
          <w:insideV w:val="single" w:sz="6" w:space="0" w:color="D9D8D0"/>
        </w:tblBorders>
        <w:tblLayout w:type="fixed"/>
      </w:tblPr>
      <w:tblGrid>
        <w:gridCol w:w="1598"/>
        <w:gridCol w:w="2347"/>
        <w:gridCol w:w="1296"/>
      </w:tblGrid>
      <w:tr>
        <w:trPr>
          <w:tblHeader/>
        </w:trPr>
        <w:tc>
          <w:tcPr>
            <w:tcW w:w="1598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Level</w:t>
            </w:r>
          </w:p>
        </w:tc>
        <w:tc>
          <w:tcPr>
            <w:tcW w:w="2347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Item</w:t>
            </w:r>
          </w:p>
        </w:tc>
        <w:tc>
          <w:tcPr>
            <w:tcW w:w="1296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Note</w:t>
            </w:r>
          </w:p>
        </w:tc>
      </w:tr>
      <w:tr>
        <w:tc>
          <w:tcPr>
            <w:tcW w:w="159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Objective</w:t>
            </w:r>
          </w:p>
        </w:tc>
        <w:tc>
          <w:tcPr>
            <w:tcW w:w="2347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Objective</w:t>
            </w: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59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Strategy</w:t>
            </w:r>
          </w:p>
        </w:tc>
        <w:tc>
          <w:tcPr>
            <w:tcW w:w="2347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    Strategy</w:t>
            </w: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59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Tactic</w:t>
            </w:r>
          </w:p>
        </w:tc>
        <w:tc>
          <w:tcPr>
            <w:tcW w:w="2347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        Tactic</w:t>
            </w: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59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KPI</w:t>
            </w:r>
          </w:p>
        </w:tc>
        <w:tc>
          <w:tcPr>
            <w:tcW w:w="2347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            KPI</w:t>
            </w: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59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KPI</w:t>
            </w:r>
          </w:p>
        </w:tc>
        <w:tc>
          <w:tcPr>
            <w:tcW w:w="2347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            KPI</w:t>
            </w: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59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Tactic</w:t>
            </w:r>
          </w:p>
        </w:tc>
        <w:tc>
          <w:tcPr>
            <w:tcW w:w="2347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        Tactic</w:t>
            </w: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59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KPI</w:t>
            </w:r>
          </w:p>
        </w:tc>
        <w:tc>
          <w:tcPr>
            <w:tcW w:w="2347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            KPI</w:t>
            </w: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59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KPI</w:t>
            </w:r>
          </w:p>
        </w:tc>
        <w:tc>
          <w:tcPr>
            <w:tcW w:w="2347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            KPI</w:t>
            </w: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59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Strategy</w:t>
            </w:r>
          </w:p>
        </w:tc>
        <w:tc>
          <w:tcPr>
            <w:tcW w:w="2347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    Strategy</w:t>
            </w: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59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Tactic</w:t>
            </w:r>
          </w:p>
        </w:tc>
        <w:tc>
          <w:tcPr>
            <w:tcW w:w="2347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        Tactic</w:t>
            </w: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59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KPI</w:t>
            </w:r>
          </w:p>
        </w:tc>
        <w:tc>
          <w:tcPr>
            <w:tcW w:w="2347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            KPI</w:t>
            </w: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59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KPI</w:t>
            </w:r>
          </w:p>
        </w:tc>
        <w:tc>
          <w:tcPr>
            <w:tcW w:w="2347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            KPI</w:t>
            </w: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59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Tactic</w:t>
            </w:r>
          </w:p>
        </w:tc>
        <w:tc>
          <w:tcPr>
            <w:tcW w:w="2347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        Tactic</w:t>
            </w: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59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KPI</w:t>
            </w:r>
          </w:p>
        </w:tc>
        <w:tc>
          <w:tcPr>
            <w:tcW w:w="2347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            KPI</w:t>
            </w: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59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KPI</w:t>
            </w:r>
          </w:p>
        </w:tc>
        <w:tc>
          <w:tcPr>
            <w:tcW w:w="2347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            KPI</w:t>
            </w: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120" w:line="252" w:lineRule="auto"/>
      </w:pPr>
    </w:p>
    <w:p>
      <w:pPr>
        <w:spacing w:before="0" w:after="160" w:line="252" w:lineRule="auto"/>
      </w:pPr>
      <w:r>
        <w:rPr>
          <w:rFonts w:ascii="Aptos" w:hAnsi="Aptos"/>
          <w:i/>
          <w:color w:val="6B6A66"/>
          <w:sz w:val="18"/>
        </w:rPr>
        <w:t xml:space="preserve">Placeholders name the level, not the content. Two branches shown; add as many as the subject needs.</w:t>
      </w:r>
    </w:p>
    <w:p>
      <w:pPr>
        <w:spacing w:before="120" w:after="80" w:line="252" w:lineRule="auto"/>
      </w:pPr>
      <w:r>
        <w:rPr>
          <w:rFonts w:ascii="Aptos" w:hAnsi="Aptos"/>
          <w:color w:val="6B6A66"/>
          <w:sz w:val="18"/>
        </w:rPr>
        <w:t xml:space="preserve">Tasks that use it: 8.1 Measure Solution Performance  ·  8.2 Analyze Performance Measures  ·  6.2 Define Future State</w:t>
      </w:r>
    </w:p>
    <w:p>
      <w:pPr>
        <w:spacing w:before="200" w:after="80" w:line="252" w:lineRule="auto"/>
      </w:pPr>
      <w:r>
        <w:rPr>
          <w:rFonts w:ascii="Aptos" w:hAnsi="Aptos"/>
          <w:color w:val="6B6A66"/>
          <w:sz w:val="16"/>
        </w:rPr>
        <w:t xml:space="preserve">CBAP® Technique Pack · BABOK® Guide v3 · business-analyst.services · not affiliated with IIBA®</w:t>
      </w:r>
    </w:p>
    <w:sectPr>
      <w:pgSz w:w="16838" w:h="11906" w:orient="landscape"/>
      <w:pgMar w:top="864" w:right="864" w:bottom="864" w:left="864" w:header="708" w:footer="708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482B"/>
    <w:rsid w:val="003E2EAC"/>
    <w:rsid w:val="00EF48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F9B495"/>
  <w15:chartTrackingRefBased/>
  <w15:docId w15:val="{9B541368-0876-4C02-B59C-C6283CD48F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48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48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48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48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48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48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48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48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48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48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48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48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482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482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48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48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48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48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48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48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48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48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48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48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48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48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48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482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482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>
  <Application>Microsoft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10.28 Metrics and Key Performance Indicators</dc:title>
  <dc:creator>Business Analyst Services</dc:creator>
  <cp:lastModifiedBy>Business Analyst Services</cp:lastModifiedBy>
</cp:coreProperties>
</file>