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52" w:lineRule="auto"/>
      </w:pPr>
      <w:r>
        <w:rPr>
          <w:rFonts w:ascii="Aptos" w:hAnsi="Aptos"/>
          <w:b/>
          <w:color w:val="0B0B0B"/>
          <w:sz w:val="42"/>
        </w:rPr>
        <w:t xml:space="preserve">10.29  Mind Mapping</w:t>
      </w:r>
    </w:p>
    <w:p>
      <w:pPr>
        <w:pBdr>
          <w:bottom w:val="single" w:sz="6" w:color="D9D8D0"/>
        </w:pBdr>
        <w:spacing w:before="0" w:after="200" w:line="252" w:lineRule="auto"/>
      </w:pPr>
      <w:r>
        <w:rPr>
          <w:rFonts w:ascii="Aptos" w:hAnsi="Aptos"/>
          <w:color w:val="6B6A66"/>
          <w:sz w:val="20"/>
        </w:rPr>
        <w:t xml:space="preserve">Elicitation and collaboration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What it is for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Organises ideas radially around a central concept to expose structure and association during thinking.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Reach for it when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Reach for it while exploring, when the shape of the problem is still forming and premature lists would close it down.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Most often confused with</w:t>
      </w:r>
    </w:p>
    <w:p>
      <w:pPr>
        <w:shd w:val="clear" w:fill="F7F7F5"/>
        <w:spacing w:before="0" w:after="200" w:line="252" w:lineRule="auto"/>
      </w:pPr>
      <w:r>
        <w:rPr>
          <w:rFonts w:ascii="Aptos" w:hAnsi="Aptos"/>
          <w:color w:val="0B0B0B"/>
          <w:sz w:val="20"/>
        </w:rPr>
        <w:t xml:space="preserve">Mind mapping is for exploring and organising thought; functional decomposition is a disciplined breakdown of scope into parts. A mind map is not a deliverable model.</w:t>
      </w:r>
    </w:p>
    <w:p>
      <w:pPr>
        <w:spacing w:before="160" w:after="40" w:line="252" w:lineRule="auto"/>
      </w:pPr>
      <w:r>
        <w:rPr>
          <w:rFonts w:ascii="Aptos" w:hAnsi="Aptos"/>
          <w:b/>
          <w:color w:val="184F95"/>
          <w:sz w:val="18"/>
          <w:spacing w:val="20"/>
        </w:rPr>
        <w:t xml:space="preserve">WORKED EXAMPLE</w:t>
      </w:r>
    </w:p>
    <w:p>
      <w:pPr>
        <w:spacing w:before="0" w:after="120" w:line="252" w:lineRule="auto"/>
      </w:pPr>
      <w:r>
        <w:rPr>
          <w:rFonts w:ascii="Aptos" w:hAnsi="Aptos"/>
          <w:b/>
          <w:color w:val="0B0B0B"/>
          <w:sz w:val="24"/>
        </w:rPr>
        <w:t xml:space="preserve">First pass on why fundraising has got harder</w:t>
      </w:r>
    </w:p>
    <w:tbl>
      <w:tblPr>
        <w:tblW w:w="0" w:type="auto"/>
        <w:tblBorders>
          <w:top w:val="single" w:sz="6" w:space="0" w:color="D9D8D0"/>
          <w:left w:val="single" w:sz="6" w:space="0" w:color="D9D8D0"/>
          <w:bottom w:val="single" w:sz="6" w:space="0" w:color="D9D8D0"/>
          <w:right w:val="single" w:sz="6" w:space="0" w:color="D9D8D0"/>
          <w:insideH w:val="single" w:sz="6" w:space="0" w:color="D9D8D0"/>
          <w:insideV w:val="single" w:sz="6" w:space="0" w:color="D9D8D0"/>
        </w:tblBorders>
        <w:tblLayout w:type="fixed"/>
      </w:tblPr>
      <w:tblGrid>
        <w:gridCol w:w="1296"/>
        <w:gridCol w:w="4896"/>
        <w:gridCol w:w="1296"/>
      </w:tblGrid>
      <w:tr>
        <w:trPr>
          <w:tblHeader/>
        </w:trPr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Level</w:t>
            </w:r>
          </w:p>
        </w:tc>
        <w:tc>
          <w:tcPr>
            <w:tcW w:w="48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Item</w:t>
            </w:r>
          </w:p>
        </w:tc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Note</w:t>
            </w:r>
          </w:p>
        </w:tc>
      </w:tr>
      <w:tr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Centre</w:t>
            </w:r>
          </w:p>
        </w:tc>
        <w:tc>
          <w:tcPr>
            <w:tcW w:w="48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Fundraising is harder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Strand</w:t>
            </w:r>
          </w:p>
        </w:tc>
        <w:tc>
          <w:tcPr>
            <w:tcW w:w="48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Donors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Detail</w:t>
            </w:r>
          </w:p>
        </w:tc>
        <w:tc>
          <w:tcPr>
            <w:tcW w:w="48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    Regular givers ageing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Detail</w:t>
            </w:r>
          </w:p>
        </w:tc>
        <w:tc>
          <w:tcPr>
            <w:tcW w:w="48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    Younger donors give once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Strand</w:t>
            </w:r>
          </w:p>
        </w:tc>
        <w:tc>
          <w:tcPr>
            <w:tcW w:w="48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Channels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Detail</w:t>
            </w:r>
          </w:p>
        </w:tc>
        <w:tc>
          <w:tcPr>
            <w:tcW w:w="48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    Direct mail response halved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Detail</w:t>
            </w:r>
          </w:p>
        </w:tc>
        <w:tc>
          <w:tcPr>
            <w:tcW w:w="48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    No recurring option online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Strand</w:t>
            </w:r>
          </w:p>
        </w:tc>
        <w:tc>
          <w:tcPr>
            <w:tcW w:w="48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Capacity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Detail</w:t>
            </w:r>
          </w:p>
        </w:tc>
        <w:tc>
          <w:tcPr>
            <w:tcW w:w="48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    Two fundraisers left, not replaced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Strand</w:t>
            </w:r>
          </w:p>
        </w:tc>
        <w:tc>
          <w:tcPr>
            <w:tcW w:w="48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Competition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Detail</w:t>
            </w:r>
          </w:p>
        </w:tc>
        <w:tc>
          <w:tcPr>
            <w:tcW w:w="48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    Two new local charities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120" w:line="252" w:lineRule="auto"/>
      </w:pPr>
    </w:p>
    <w:p>
      <w:pPr>
        <w:spacing w:before="120" w:after="80" w:line="252" w:lineRule="auto"/>
      </w:pPr>
      <w:r>
        <w:rPr>
          <w:rFonts w:ascii="Aptos" w:hAnsi="Aptos"/>
          <w:color w:val="6B6A66"/>
          <w:sz w:val="18"/>
        </w:rPr>
        <w:t xml:space="preserve">Tasks that use it: 4.2 Conduct Elicitation  ·  6.1 Analyze Current State</w:t>
      </w:r>
    </w:p>
    <w:p>
      <w:pPr>
        <w:spacing w:before="200" w:after="80" w:line="252" w:lineRule="auto"/>
      </w:pPr>
      <w:r>
        <w:rPr>
          <w:rFonts w:ascii="Aptos" w:hAnsi="Aptos"/>
          <w:color w:val="6B6A66"/>
          <w:sz w:val="16"/>
        </w:rPr>
        <w:t xml:space="preserve">CBAP® Technique Pack · BABOK® Guide v3 · business-analyst.services · not affiliated with IIBA®</w:t>
      </w:r>
    </w:p>
    <w:sectPr>
      <w:pgSz w:w="16838" w:h="11906" w:orient="landscape"/>
      <w:pgMar w:top="864" w:right="864" w:bottom="864" w:left="86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B"/>
    <w:rsid w:val="003E2EAC"/>
    <w:rsid w:val="00E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B495"/>
  <w15:chartTrackingRefBased/>
  <w15:docId w15:val="{9B541368-0876-4C02-B59C-C6283CD4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10.29 Mind Mapping</dc:title>
  <dc:creator>Business Analyst Services</dc:creator>
  <cp:lastModifiedBy>Business Analyst Services</cp:lastModifiedBy>
</cp:coreProperties>
</file>