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 w:line="252" w:lineRule="auto"/>
      </w:pPr>
      <w:r>
        <w:rPr>
          <w:rFonts w:ascii="Aptos" w:hAnsi="Aptos"/>
          <w:b/>
          <w:color w:val="0B0B0B"/>
          <w:sz w:val="42"/>
        </w:rPr>
        <w:t xml:space="preserve">10.39  Roles and Permissions Matrix</w:t>
      </w:r>
    </w:p>
    <w:p>
      <w:pPr>
        <w:pBdr>
          <w:bottom w:val="single" w:sz="6" w:color="D9D8D0"/>
        </w:pBdr>
        <w:spacing w:before="0" w:after="200" w:line="252" w:lineRule="auto"/>
      </w:pPr>
      <w:r>
        <w:rPr>
          <w:rFonts w:ascii="Aptos" w:hAnsi="Aptos"/>
          <w:color w:val="6B6A66"/>
          <w:sz w:val="20"/>
        </w:rPr>
        <w:t xml:space="preserve">Modelling and specification</w:t>
      </w:r>
    </w:p>
    <w:p>
      <w:pPr>
        <w:spacing w:before="0" w:after="40" w:line="252" w:lineRule="auto"/>
      </w:pPr>
      <w:r>
        <w:rPr>
          <w:rFonts w:ascii="Aptos" w:hAnsi="Aptos"/>
          <w:b/>
          <w:caps/>
          <w:color w:val="6B6A66"/>
          <w:sz w:val="16"/>
          <w:spacing w:val="20"/>
        </w:rPr>
        <w:t xml:space="preserve">What it is for</w:t>
      </w:r>
    </w:p>
    <w:p>
      <w:pPr>
        <w:spacing w:before="0" w:after="160" w:line="252" w:lineRule="auto"/>
      </w:pPr>
      <w:r>
        <w:rPr>
          <w:rFonts w:ascii="Aptos" w:hAnsi="Aptos"/>
          <w:color w:val="0B0B0B"/>
          <w:sz w:val="20"/>
        </w:rPr>
        <w:t xml:space="preserve">Sets out which role may perform which action on which object, exposing gaps, overlaps and separation-of-duty breaches.</w:t>
      </w:r>
    </w:p>
    <w:p>
      <w:pPr>
        <w:spacing w:before="0" w:after="40" w:line="252" w:lineRule="auto"/>
      </w:pPr>
      <w:r>
        <w:rPr>
          <w:rFonts w:ascii="Aptos" w:hAnsi="Aptos"/>
          <w:b/>
          <w:caps/>
          <w:color w:val="6B6A66"/>
          <w:sz w:val="16"/>
          <w:spacing w:val="20"/>
        </w:rPr>
        <w:t xml:space="preserve">Reach for it when</w:t>
      </w:r>
    </w:p>
    <w:p>
      <w:pPr>
        <w:spacing w:before="0" w:after="160" w:line="252" w:lineRule="auto"/>
      </w:pPr>
      <w:r>
        <w:rPr>
          <w:rFonts w:ascii="Aptos" w:hAnsi="Aptos"/>
          <w:color w:val="0B0B0B"/>
          <w:sz w:val="20"/>
        </w:rPr>
        <w:t xml:space="preserve">Reach for it when access, authority or segregation of duties is in question, particularly under audit or regulation.</w:t>
      </w:r>
    </w:p>
    <w:p>
      <w:pPr>
        <w:spacing w:before="0" w:after="40" w:line="252" w:lineRule="auto"/>
      </w:pPr>
      <w:r>
        <w:rPr>
          <w:rFonts w:ascii="Aptos" w:hAnsi="Aptos"/>
          <w:b/>
          <w:caps/>
          <w:color w:val="6B6A66"/>
          <w:sz w:val="16"/>
          <w:spacing w:val="20"/>
        </w:rPr>
        <w:t xml:space="preserve">Most often confused with</w:t>
      </w:r>
    </w:p>
    <w:p>
      <w:pPr>
        <w:shd w:val="clear" w:fill="F7F7F5"/>
        <w:spacing w:before="0" w:after="200" w:line="252" w:lineRule="auto"/>
      </w:pPr>
      <w:r>
        <w:rPr>
          <w:rFonts w:ascii="Aptos" w:hAnsi="Aptos"/>
          <w:color w:val="0B0B0B"/>
          <w:sz w:val="20"/>
        </w:rPr>
        <w:t xml:space="preserve">A roles and permissions matrix governs what a role may do in the solution; organisational modelling describes where the role sits. Permission versus position.</w:t>
      </w:r>
    </w:p>
    <w:p>
      <w:pPr>
        <w:spacing w:before="160" w:after="40" w:line="252" w:lineRule="auto"/>
      </w:pPr>
      <w:r>
        <w:rPr>
          <w:rFonts w:ascii="Aptos" w:hAnsi="Aptos"/>
          <w:b/>
          <w:color w:val="184F95"/>
          <w:sz w:val="18"/>
          <w:spacing w:val="20"/>
        </w:rPr>
        <w:t xml:space="preserve">BLANK TEMPLATE — FILL THIS ONE IN</w:t>
      </w:r>
    </w:p>
    <w:p>
      <w:pPr>
        <w:spacing w:before="0" w:after="120" w:line="252" w:lineRule="auto"/>
      </w:pPr>
      <w:r>
        <w:rPr>
          <w:rFonts w:ascii="Aptos" w:hAnsi="Aptos"/>
          <w:b/>
          <w:color w:val="0B0B0B"/>
          <w:sz w:val="24"/>
        </w:rPr>
        <w:t xml:space="preserve">Roles and Permissions Matrix — blank template</w:t>
      </w:r>
    </w:p>
    <w:tbl>
      <w:tblPr>
        <w:tblW w:w="0" w:type="auto"/>
        <w:tblBorders>
          <w:top w:val="single" w:sz="6" w:space="0" w:color="D9D8D0"/>
          <w:left w:val="single" w:sz="6" w:space="0" w:color="D9D8D0"/>
          <w:bottom w:val="single" w:sz="6" w:space="0" w:color="D9D8D0"/>
          <w:right w:val="single" w:sz="6" w:space="0" w:color="D9D8D0"/>
          <w:insideH w:val="single" w:sz="6" w:space="0" w:color="D9D8D0"/>
          <w:insideV w:val="single" w:sz="6" w:space="0" w:color="D9D8D0"/>
        </w:tblBorders>
        <w:tblLayout w:type="fixed"/>
      </w:tblPr>
      <w:tblGrid>
        <w:gridCol w:w="2347"/>
        <w:gridCol w:w="1296"/>
        <w:gridCol w:w="1368"/>
        <w:gridCol w:w="1296"/>
        <w:gridCol w:w="1296"/>
      </w:tblGrid>
      <w:tr>
        <w:trPr>
          <w:tblHeader/>
        </w:trPr>
        <w:tc>
          <w:tcPr>
            <w:tcW w:w="2347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Role \ Action</w:t>
            </w:r>
          </w:p>
        </w:tc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Create</w:t>
            </w:r>
          </w:p>
        </w:tc>
        <w:tc>
          <w:tcPr>
            <w:tcW w:w="1368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Approve</w:t>
            </w:r>
          </w:p>
        </w:tc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Amend</w:t>
            </w:r>
          </w:p>
        </w:tc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Delete</w:t>
            </w:r>
          </w:p>
        </w:tc>
      </w:tr>
      <w:tr>
        <w:tc>
          <w:tcPr>
            <w:tcW w:w="2347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Grants officer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2347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Finance officer</w:t>
            </w: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2347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Team leader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120" w:line="252" w:lineRule="auto"/>
      </w:pPr>
    </w:p>
    <w:p>
      <w:pPr>
        <w:spacing w:before="0" w:after="160" w:line="252" w:lineRule="auto"/>
      </w:pPr>
      <w:r>
        <w:rPr>
          <w:rFonts w:ascii="Aptos" w:hAnsi="Aptos"/>
          <w:i/>
          <w:color w:val="6B6A66"/>
          <w:sz w:val="18"/>
        </w:rPr>
        <w:t xml:space="preserve">Place each item in one cell only. If it fits two, the axes are not yet sharp enough.</w:t>
      </w:r>
    </w:p>
    <w:p>
      <w:pPr>
        <w:spacing w:before="120" w:after="80" w:line="252" w:lineRule="auto"/>
      </w:pPr>
      <w:r>
        <w:rPr>
          <w:rFonts w:ascii="Aptos" w:hAnsi="Aptos"/>
          <w:color w:val="6B6A66"/>
          <w:sz w:val="18"/>
        </w:rPr>
        <w:t xml:space="preserve">Tasks that use it: 7.1 Specify and Model Requirements  ·  6.2 Define Future State</w:t>
      </w:r>
    </w:p>
    <w:p>
      <w:pPr>
        <w:spacing w:before="200" w:after="80" w:line="252" w:lineRule="auto"/>
      </w:pPr>
      <w:r>
        <w:rPr>
          <w:rFonts w:ascii="Aptos" w:hAnsi="Aptos"/>
          <w:color w:val="6B6A66"/>
          <w:sz w:val="16"/>
        </w:rPr>
        <w:t xml:space="preserve">CBAP® Technique Pack · BABOK® Guide v3 · business-analyst.services · not affiliated with IIBA®</w:t>
      </w:r>
    </w:p>
    <w:sectPr>
      <w:pgSz w:w="16838" w:h="11906" w:orient="landscape"/>
      <w:pgMar w:top="864" w:right="864" w:bottom="864" w:left="864" w:header="708" w:footer="708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82B"/>
    <w:rsid w:val="003E2EAC"/>
    <w:rsid w:val="00EF4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9B495"/>
  <w15:chartTrackingRefBased/>
  <w15:docId w15:val="{9B541368-0876-4C02-B59C-C6283CD48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4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4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48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4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48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4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4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4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4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48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48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48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48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48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4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4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4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4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4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4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4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4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4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4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4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48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48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48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48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10.39 Roles and Permissions Matrix</dc:title>
  <dc:creator>Business Analyst Services</dc:creator>
  <cp:lastModifiedBy>Business Analyst Services</cp:lastModifiedBy>
</cp:coreProperties>
</file>