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 w:line="252" w:lineRule="auto"/>
      </w:pPr>
      <w:r>
        <w:rPr>
          <w:rFonts w:ascii="Aptos" w:hAnsi="Aptos"/>
          <w:b/>
          <w:color w:val="0B0B0B"/>
          <w:sz w:val="42"/>
        </w:rPr>
        <w:t xml:space="preserve">10.42  Sequence Diagrams</w:t>
      </w:r>
    </w:p>
    <w:p>
      <w:pPr>
        <w:pBdr>
          <w:bottom w:val="single" w:sz="6" w:color="D9D8D0"/>
        </w:pBdr>
        <w:spacing w:before="0" w:after="200" w:line="252" w:lineRule="auto"/>
      </w:pPr>
      <w:r>
        <w:rPr>
          <w:rFonts w:ascii="Aptos" w:hAnsi="Aptos"/>
          <w:color w:val="6B6A66"/>
          <w:sz w:val="20"/>
        </w:rPr>
        <w:t xml:space="preserve">Modelling and specification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What it is for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Shows the ordered exchange of messages between participants over time to accomplish a specific interaction.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Reach for it when</w:t>
      </w:r>
    </w:p>
    <w:p>
      <w:pPr>
        <w:spacing w:before="0" w:after="160" w:line="252" w:lineRule="auto"/>
      </w:pPr>
      <w:r>
        <w:rPr>
          <w:rFonts w:ascii="Aptos" w:hAnsi="Aptos"/>
          <w:color w:val="0B0B0B"/>
          <w:sz w:val="20"/>
        </w:rPr>
        <w:t xml:space="preserve">Reach for it when timing, ordering and the exact exchange between components decide whether the behaviour is correct.</w:t>
      </w:r>
    </w:p>
    <w:p>
      <w:pPr>
        <w:spacing w:before="0" w:after="40" w:line="252" w:lineRule="auto"/>
      </w:pPr>
      <w:r>
        <w:rPr>
          <w:rFonts w:ascii="Aptos" w:hAnsi="Aptos"/>
          <w:b/>
          <w:caps/>
          <w:color w:val="6B6A66"/>
          <w:sz w:val="16"/>
          <w:spacing w:val="20"/>
        </w:rPr>
        <w:t xml:space="preserve">Most often confused with</w:t>
      </w:r>
    </w:p>
    <w:p>
      <w:pPr>
        <w:shd w:val="clear" w:fill="F7F7F5"/>
        <w:spacing w:before="0" w:after="200" w:line="252" w:lineRule="auto"/>
      </w:pPr>
      <w:r>
        <w:rPr>
          <w:rFonts w:ascii="Aptos" w:hAnsi="Aptos"/>
          <w:color w:val="0B0B0B"/>
          <w:sz w:val="20"/>
        </w:rPr>
        <w:t xml:space="preserve">Sequence diagrams order messages between components; process models order activities performed by people and systems; state models track what an object becomes. Messages, work, or status is the three-way split.</w:t>
      </w:r>
    </w:p>
    <w:p>
      <w:pPr>
        <w:spacing w:before="160" w:after="40" w:line="252" w:lineRule="auto"/>
      </w:pPr>
      <w:r>
        <w:rPr>
          <w:rFonts w:ascii="Aptos" w:hAnsi="Aptos"/>
          <w:b/>
          <w:color w:val="184F95"/>
          <w:sz w:val="18"/>
          <w:spacing w:val="20"/>
        </w:rPr>
        <w:t xml:space="preserve">WORKED EXAMPLE</w:t>
      </w:r>
    </w:p>
    <w:p>
      <w:pPr>
        <w:spacing w:before="0" w:after="120" w:line="252" w:lineRule="auto"/>
      </w:pPr>
      <w:r>
        <w:rPr>
          <w:rFonts w:ascii="Aptos" w:hAnsi="Aptos"/>
          <w:b/>
          <w:color w:val="0B0B0B"/>
          <w:sz w:val="24"/>
        </w:rPr>
        <w:t xml:space="preserve">The race that only appears under load</w:t>
      </w:r>
    </w:p>
    <w:tbl>
      <w:tblPr>
        <w:tblW w:w="0" w:type="auto"/>
        <w:tblBorders>
          <w:top w:val="single" w:sz="6" w:space="0" w:color="D9D8D0"/>
          <w:left w:val="single" w:sz="6" w:space="0" w:color="D9D8D0"/>
          <w:bottom w:val="single" w:sz="6" w:space="0" w:color="D9D8D0"/>
          <w:right w:val="single" w:sz="6" w:space="0" w:color="D9D8D0"/>
          <w:insideH w:val="single" w:sz="6" w:space="0" w:color="D9D8D0"/>
          <w:insideV w:val="single" w:sz="6" w:space="0" w:color="D9D8D0"/>
        </w:tblBorders>
        <w:tblLayout w:type="fixed"/>
      </w:tblPr>
      <w:tblGrid>
        <w:gridCol w:w="1296"/>
        <w:gridCol w:w="2088"/>
        <w:gridCol w:w="2088"/>
        <w:gridCol w:w="4176"/>
        <w:gridCol w:w="1973"/>
      </w:tblGrid>
      <w:tr>
        <w:trPr>
          <w:tblHeader/>
        </w:trPr>
        <w:tc>
          <w:tcPr>
            <w:tcW w:w="129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#</w:t>
            </w:r>
          </w:p>
        </w:tc>
        <w:tc>
          <w:tcPr>
            <w:tcW w:w="208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From</w:t>
            </w:r>
          </w:p>
        </w:tc>
        <w:tc>
          <w:tcPr>
            <w:tcW w:w="2088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To</w:t>
            </w:r>
          </w:p>
        </w:tc>
        <w:tc>
          <w:tcPr>
            <w:tcW w:w="4176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Message</w:t>
            </w:r>
          </w:p>
        </w:tc>
        <w:tc>
          <w:tcPr>
            <w:tcW w:w="1973" w:type="dxa"/>
            <w:shd w:val="clear" w:fill="2A78D6"/>
            <w:tcMar>
              <w:top w:w="72" w:type="dxa"/>
              <w:left w:w="108" w:type="dxa"/>
              <w:bottom w:w="72" w:type="dxa"/>
              <w:right w:w="108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b/>
                <w:color w:val="FFFFFF"/>
                <w:sz w:val="18"/>
              </w:rPr>
              <w:t xml:space="preserve">Call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1</w:t>
            </w:r>
          </w:p>
        </w:tc>
        <w:tc>
          <w:tcPr>
            <w:tcW w:w="208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Gateway</w:t>
            </w:r>
          </w:p>
        </w:tc>
        <w:tc>
          <w:tcPr>
            <w:tcW w:w="208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Authorisation</w:t>
            </w:r>
          </w:p>
        </w:tc>
        <w:tc>
          <w:tcPr>
            <w:tcW w:w="417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authorise(txn)</w:t>
            </w:r>
          </w:p>
        </w:tc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blocking</w:t>
            </w: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2</w:t>
            </w:r>
          </w:p>
        </w:tc>
        <w:tc>
          <w:tcPr>
            <w:tcW w:w="208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Authorisation</w:t>
            </w:r>
          </w:p>
        </w:tc>
        <w:tc>
          <w:tcPr>
            <w:tcW w:w="208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Gateway</w:t>
            </w:r>
          </w:p>
        </w:tc>
        <w:tc>
          <w:tcPr>
            <w:tcW w:w="417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approved</w:t>
            </w:r>
          </w:p>
        </w:tc>
        <w:tc>
          <w:tcPr>
            <w:tcW w:w="197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async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3</w:t>
            </w:r>
          </w:p>
        </w:tc>
        <w:tc>
          <w:tcPr>
            <w:tcW w:w="208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Gateway</w:t>
            </w:r>
          </w:p>
        </w:tc>
        <w:tc>
          <w:tcPr>
            <w:tcW w:w="208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Fraud service</w:t>
            </w:r>
          </w:p>
        </w:tc>
        <w:tc>
          <w:tcPr>
            <w:tcW w:w="417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score(txn) — does not wait</w:t>
            </w:r>
          </w:p>
        </w:tc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async</w:t>
            </w:r>
          </w:p>
        </w:tc>
      </w:tr>
      <w:tr>
        <w:tc>
          <w:tcPr>
            <w:tcW w:w="129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4</w:t>
            </w:r>
          </w:p>
        </w:tc>
        <w:tc>
          <w:tcPr>
            <w:tcW w:w="208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Gateway</w:t>
            </w:r>
          </w:p>
        </w:tc>
        <w:tc>
          <w:tcPr>
            <w:tcW w:w="2088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Ledger</w:t>
            </w:r>
          </w:p>
        </w:tc>
        <w:tc>
          <w:tcPr>
            <w:tcW w:w="4176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post(txn)</w:t>
            </w:r>
          </w:p>
        </w:tc>
        <w:tc>
          <w:tcPr>
            <w:tcW w:w="1973" w:type="dxa"/>
            <w:shd w:val="clear" w:fill="F7F7F5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blocking</w:t>
            </w:r>
          </w:p>
        </w:tc>
      </w:tr>
      <w:tr>
        <w:tc>
          <w:tcPr>
            <w:tcW w:w="129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5</w:t>
            </w:r>
          </w:p>
        </w:tc>
        <w:tc>
          <w:tcPr>
            <w:tcW w:w="208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Fraud service</w:t>
            </w:r>
          </w:p>
        </w:tc>
        <w:tc>
          <w:tcPr>
            <w:tcW w:w="2088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Gateway</w:t>
            </w:r>
          </w:p>
        </w:tc>
        <w:tc>
          <w:tcPr>
            <w:tcW w:w="4176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decision arrives after posting</w:t>
            </w:r>
          </w:p>
        </w:tc>
        <w:tc>
          <w:tcPr>
            <w:tcW w:w="1973" w:type="dxa"/>
            <w:shd w:val="clear" w:fill="FFFFFF"/>
            <w:tcMar>
              <w:top w:w="72" w:type="dxa"/>
              <w:left w:w="108" w:type="dxa"/>
              <w:bottom w:w="72" w:type="dxa"/>
              <w:right w:w="108" w:type="dxa"/>
            </w:tcMar>
            <w:vAlign w:val="top"/>
          </w:tcPr>
          <w:p>
            <w:pPr>
              <w:spacing w:before="0" w:after="0" w:line="252" w:lineRule="auto"/>
            </w:pPr>
            <w:r>
              <w:rPr>
                <w:rFonts w:ascii="Aptos" w:hAnsi="Aptos"/>
                <w:color w:val="0B0B0B"/>
                <w:sz w:val="18"/>
              </w:rPr>
              <w:t xml:space="preserve">arrives late</w:t>
            </w:r>
          </w:p>
        </w:tc>
      </w:tr>
    </w:tbl>
    <w:p>
      <w:pPr>
        <w:spacing w:before="0" w:after="120" w:line="252" w:lineRule="auto"/>
      </w:pPr>
    </w:p>
    <w:p>
      <w:pPr>
        <w:spacing w:before="0" w:after="160" w:line="252" w:lineRule="auto"/>
      </w:pPr>
      <w:r>
        <w:rPr>
          <w:rFonts w:ascii="Aptos" w:hAnsi="Aptos"/>
          <w:i/>
          <w:color w:val="6B6A66"/>
          <w:sz w:val="18"/>
        </w:rPr>
        <w:t xml:space="preserve">Load widens the window between the last two messages. It does not cause the fault.</w:t>
      </w:r>
    </w:p>
    <w:p>
      <w:pPr>
        <w:spacing w:before="120" w:after="80" w:line="252" w:lineRule="auto"/>
      </w:pPr>
      <w:r>
        <w:rPr>
          <w:rFonts w:ascii="Aptos" w:hAnsi="Aptos"/>
          <w:color w:val="6B6A66"/>
          <w:sz w:val="18"/>
        </w:rPr>
        <w:t xml:space="preserve">Tasks that use it: 7.1 Specify and Model Requirements  ·  7.4 Define Requirements Architecture</w:t>
      </w:r>
    </w:p>
    <w:p>
      <w:pPr>
        <w:spacing w:before="200" w:after="80" w:line="252" w:lineRule="auto"/>
      </w:pPr>
      <w:r>
        <w:rPr>
          <w:rFonts w:ascii="Aptos" w:hAnsi="Aptos"/>
          <w:color w:val="6B6A66"/>
          <w:sz w:val="16"/>
        </w:rPr>
        <w:t xml:space="preserve">CBAP® Technique Pack · BABOK® Guide v3 · business-analyst.services · not affiliated with IIBA®</w:t>
      </w:r>
    </w:p>
    <w:sectPr>
      <w:pgSz w:w="16838" w:h="11906" w:orient="landscape"/>
      <w:pgMar w:top="864" w:right="864" w:bottom="864" w:left="864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82B"/>
    <w:rsid w:val="003E2EAC"/>
    <w:rsid w:val="00EF4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9B495"/>
  <w15:chartTrackingRefBased/>
  <w15:docId w15:val="{9B541368-0876-4C02-B59C-C6283CD48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>
  <Application>Microsoft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10.42 Sequence Diagrams</dc:title>
  <dc:creator>Business Analyst Services</dc:creator>
  <cp:lastModifiedBy>Business Analyst Services</cp:lastModifiedBy>
</cp:coreProperties>
</file>