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10.47  Use Cases and Scenarios</w:t>
      </w:r>
    </w:p>
    <w:p>
      <w:pPr>
        <w:pBdr>
          <w:bottom w:val="single" w:sz="6" w:color="D9D8D0"/>
        </w:pBdr>
        <w:spacing w:before="0" w:after="200" w:line="252" w:lineRule="auto"/>
      </w:pPr>
      <w:r>
        <w:rPr>
          <w:rFonts w:ascii="Aptos" w:hAnsi="Aptos"/>
          <w:color w:val="6B6A66"/>
          <w:sz w:val="20"/>
        </w:rPr>
        <w:t xml:space="preserve">Modelling and specification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What it is for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Describes how an actor interacts with a solution to achieve a goal, including the main flow and the alternatives and exceptions.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Reach for it when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Reach for it when the interaction between an actor and the solution, including everything that can go wrong in it, is the substance of the requirement.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Most often confused with</w:t>
      </w:r>
    </w:p>
    <w:p>
      <w:pPr>
        <w:shd w:val="clear" w:fill="F7F7F5"/>
        <w:spacing w:before="0" w:after="200" w:line="252" w:lineRule="auto"/>
      </w:pPr>
      <w:r>
        <w:rPr>
          <w:rFonts w:ascii="Aptos" w:hAnsi="Aptos"/>
          <w:color w:val="0B0B0B"/>
          <w:sz w:val="20"/>
        </w:rPr>
        <w:t xml:space="preserve">A use case is goal-oriented interaction with the solution; a process model is the flow of business work. Use cases carry alternate and exception flows, which is usually the discriminating detail in a stem.</w:t>
      </w:r>
    </w:p>
    <w:p>
      <w:pPr>
        <w:spacing w:before="160" w:after="40" w:line="252" w:lineRule="auto"/>
      </w:pPr>
      <w:r>
        <w:rPr>
          <w:rFonts w:ascii="Aptos" w:hAnsi="Aptos"/>
          <w:b/>
          <w:color w:val="184F95"/>
          <w:sz w:val="18"/>
          <w:spacing w:val="20"/>
        </w:rPr>
        <w:t xml:space="preserve">BLANK TEMPLATE — FILL THIS ONE IN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4"/>
        </w:rPr>
        <w:t xml:space="preserve">Use Cases and Scenarios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1296"/>
        <w:gridCol w:w="1483"/>
        <w:gridCol w:w="1296"/>
      </w:tblGrid>
      <w:tr>
        <w:trPr>
          <w:tblHeader/>
        </w:trPr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Actor</w:t>
            </w:r>
          </w:p>
        </w:tc>
        <w:tc>
          <w:tcPr>
            <w:tcW w:w="1483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Use case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System</w:t>
            </w: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48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System</w:t>
            </w: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48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System</w:t>
            </w: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48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System</w:t>
            </w: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48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System</w:t>
            </w:r>
          </w:p>
        </w:tc>
      </w:tr>
    </w:tbl>
    <w:p>
      <w:pPr>
        <w:spacing w:before="0" w:after="120" w:line="252" w:lineRule="auto"/>
      </w:pPr>
    </w:p>
    <w:p>
      <w:pPr>
        <w:spacing w:before="0" w:after="160" w:line="252" w:lineRule="auto"/>
      </w:pPr>
      <w:r>
        <w:rPr>
          <w:rFonts w:ascii="Aptos" w:hAnsi="Aptos"/>
          <w:i/>
          <w:color w:val="6B6A66"/>
          <w:sz w:val="18"/>
        </w:rPr>
        <w:t xml:space="preserve">Actors outside the boundary, goals inside it. If an oval is not a goal an actor would name, it is not a use case.</w:t>
      </w:r>
    </w:p>
    <w:p>
      <w:pPr>
        <w:spacing w:before="120" w:after="80" w:line="252" w:lineRule="auto"/>
      </w:pPr>
      <w:r>
        <w:rPr>
          <w:rFonts w:ascii="Aptos" w:hAnsi="Aptos"/>
          <w:color w:val="6B6A66"/>
          <w:sz w:val="18"/>
        </w:rPr>
        <w:t xml:space="preserve">Tasks that use it: 7.1 Specify and Model Requirements  ·  7.3 Validate Requirements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10.47 Use Cases and Scenarios</dc:title>
  <dc:creator>Business Analyst Services</dc:creator>
  <cp:lastModifiedBy>Business Analyst Services</cp:lastModifiedBy>
</cp:coreProperties>
</file>