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40" w:line="252" w:lineRule="auto"/>
      </w:pPr>
      <w:r>
        <w:rPr>
          <w:rFonts w:ascii="Aptos" w:hAnsi="Aptos"/>
          <w:b/>
          <w:color w:val="0B0B0B"/>
          <w:sz w:val="42"/>
        </w:rPr>
        <w:t xml:space="preserve">10.32  Organisational Modelling</w:t>
      </w:r>
    </w:p>
    <w:p>
      <w:pPr>
        <w:pBdr>
          <w:bottom w:val="single" w:sz="6" w:color="D9D8D0"/>
        </w:pBdr>
        <w:spacing w:before="0" w:after="240" w:line="252" w:lineRule="auto"/>
      </w:pPr>
      <w:r>
        <w:rPr>
          <w:rFonts w:ascii="Aptos" w:hAnsi="Aptos"/>
          <w:color w:val="6B6A66"/>
          <w:sz w:val="20"/>
        </w:rPr>
        <w:t xml:space="preserve">Blank template</w:t>
      </w:r>
    </w:p>
    <w:p>
      <w:pPr>
        <w:spacing w:before="0" w:after="120" w:line="252" w:lineRule="auto"/>
      </w:pPr>
      <w:r>
        <w:rPr>
          <w:rFonts w:ascii="Aptos" w:hAnsi="Aptos"/>
          <w:b/>
          <w:color w:val="0B0B0B"/>
          <w:sz w:val="25"/>
        </w:rPr>
        <w:t xml:space="preserve">Organisational Modelling — blank template</w:t>
      </w:r>
    </w:p>
    <w:tbl>
      <w:tblPr>
        <w:tblW w:w="0" w:type="auto"/>
        <w:tblBorders>
          <w:top w:val="single" w:sz="6" w:space="0" w:color="D9D8D0"/>
          <w:left w:val="single" w:sz="6" w:space="0" w:color="D9D8D0"/>
          <w:bottom w:val="single" w:sz="6" w:space="0" w:color="D9D8D0"/>
          <w:right w:val="single" w:sz="6" w:space="0" w:color="D9D8D0"/>
          <w:insideH w:val="single" w:sz="6" w:space="0" w:color="D9D8D0"/>
          <w:insideV w:val="single" w:sz="6" w:space="0" w:color="D9D8D0"/>
        </w:tblBorders>
        <w:tblLayout w:type="fixed"/>
      </w:tblPr>
      <w:tblGrid>
        <w:gridCol w:w="2218"/>
        <w:gridCol w:w="3197"/>
        <w:gridCol w:w="1296"/>
      </w:tblGrid>
      <w:tr>
        <w:trPr>
          <w:tblHeader/>
        </w:trPr>
        <w:tc>
          <w:tcPr>
            <w:tcW w:w="2218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Level</w:t>
            </w:r>
          </w:p>
        </w:tc>
        <w:tc>
          <w:tcPr>
            <w:tcW w:w="3197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W w:w="1296" w:type="dxa"/>
            <w:shd w:val="clear" w:fill="2A78D6"/>
            <w:tcMar>
              <w:top w:w="72" w:type="dxa"/>
              <w:left w:w="108" w:type="dxa"/>
              <w:bottom w:w="72" w:type="dxa"/>
              <w:right w:w="108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b/>
                <w:color w:val="FFFFFF"/>
                <w:sz w:val="18"/>
              </w:rPr>
              <w:t xml:space="preserve">Note</w:t>
            </w:r>
          </w:p>
        </w:tc>
      </w:tr>
      <w:tr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Division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Division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Unit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Unit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Decision right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Decision right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Decision right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Decision right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Unit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Unit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Decision right</w:t>
            </w:r>
          </w:p>
        </w:tc>
        <w:tc>
          <w:tcPr>
            <w:tcW w:w="3197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Decision right</w:t>
            </w:r>
          </w:p>
        </w:tc>
        <w:tc>
          <w:tcPr>
            <w:tcW w:w="1296" w:type="dxa"/>
            <w:shd w:val="clear" w:fill="F7F7F5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  <w:tr>
        <w:tc>
          <w:tcPr>
            <w:tcW w:w="2218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Decision right</w:t>
            </w:r>
          </w:p>
        </w:tc>
        <w:tc>
          <w:tcPr>
            <w:tcW w:w="3197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  <w:r>
              <w:rPr>
                <w:rFonts w:ascii="Aptos" w:hAnsi="Aptos"/>
                <w:color w:val="0B0B0B"/>
                <w:sz w:val="18"/>
              </w:rPr>
              <w:t xml:space="preserve">        Decision right</w:t>
            </w:r>
          </w:p>
        </w:tc>
        <w:tc>
          <w:tcPr>
            <w:tcW w:w="1296" w:type="dxa"/>
            <w:shd w:val="clear" w:fill="FFFFFF"/>
            <w:tcMar>
              <w:top w:w="72" w:type="dxa"/>
              <w:left w:w="108" w:type="dxa"/>
              <w:bottom w:w="72" w:type="dxa"/>
              <w:right w:w="108" w:type="dxa"/>
            </w:tcMar>
            <w:vAlign w:val="top"/>
          </w:tcPr>
          <w:p>
            <w:pPr>
              <w:spacing w:before="0" w:after="0" w:line="252" w:lineRule="auto"/>
            </w:pPr>
          </w:p>
        </w:tc>
      </w:tr>
    </w:tbl>
    <w:p>
      <w:pPr>
        <w:spacing w:before="0" w:after="120" w:line="252" w:lineRule="auto"/>
      </w:pPr>
    </w:p>
    <w:p>
      <w:pPr>
        <w:spacing w:before="40" w:after="80" w:line="252" w:lineRule="auto"/>
      </w:pPr>
      <w:r>
        <w:rPr>
          <w:rFonts w:ascii="Aptos" w:hAnsi="Aptos"/>
          <w:i/>
          <w:color w:val="6B6A66"/>
          <w:sz w:val="18"/>
        </w:rPr>
        <w:t xml:space="preserve">Placeholders name the level, not the content. Two branches shown; add as many as the subject needs.</w:t>
      </w:r>
    </w:p>
    <w:p>
      <w:pPr>
        <w:spacing w:before="200" w:after="80" w:line="252" w:lineRule="auto"/>
      </w:pPr>
      <w:r>
        <w:rPr>
          <w:rFonts w:ascii="Aptos" w:hAnsi="Aptos"/>
          <w:color w:val="6B6A66"/>
          <w:sz w:val="16"/>
        </w:rPr>
        <w:t xml:space="preserve">CBAP® Technique Pack · BABOK® Guide v3 · business-analyst.services · not affiliated with IIBA®</w:t>
      </w:r>
    </w:p>
    <w:sectPr>
      <w:pgSz w:w="16838" w:h="11906" w:orient="landscape"/>
      <w:pgMar w:top="864" w:right="864" w:bottom="864" w:left="864" w:header="708" w:footer="708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482B"/>
    <w:rsid w:val="003E2EAC"/>
    <w:rsid w:val="00EF4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F9B495"/>
  <w15:chartTrackingRefBased/>
  <w15:docId w15:val="{9B541368-0876-4C02-B59C-C6283CD48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4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4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48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4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48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4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4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4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4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48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48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48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48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48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48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48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48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48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4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4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4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4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4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48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48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48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48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48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48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10.32 Organisational Modelling — blank template</dc:title>
  <dc:creator>Business Analyst Services</dc:creator>
  <cp:lastModifiedBy>Business Analyst Services</cp:lastModifiedBy>
</cp:coreProperties>
</file>