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10.34  Process Analysis</w:t>
      </w:r>
    </w:p>
    <w:p>
      <w:pPr>
        <w:pBdr>
          <w:bottom w:val="single" w:sz="6" w:color="D9D8D0"/>
        </w:pBdr>
        <w:spacing w:before="0" w:after="240" w:line="252" w:lineRule="auto"/>
      </w:pPr>
      <w:r>
        <w:rPr>
          <w:rFonts w:ascii="Aptos" w:hAnsi="Aptos"/>
          <w:color w:val="6B6A66"/>
          <w:sz w:val="20"/>
        </w:rPr>
        <w:t xml:space="preserve">Blank template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5"/>
        </w:rPr>
        <w:t xml:space="preserve">Process Analysis — blank template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296"/>
        <w:gridCol w:w="1368"/>
        <w:gridCol w:w="1728"/>
        <w:gridCol w:w="1368"/>
      </w:tblGrid>
      <w:tr>
        <w:trPr>
          <w:tblHeader/>
        </w:trPr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Step</w:t>
            </w:r>
          </w:p>
        </w:tc>
        <w:tc>
          <w:tcPr>
            <w:tcW w:w="136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Elapsed</w:t>
            </w:r>
          </w:p>
        </w:tc>
        <w:tc>
          <w:tcPr>
            <w:tcW w:w="172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Touch time</w:t>
            </w:r>
          </w:p>
        </w:tc>
        <w:tc>
          <w:tcPr>
            <w:tcW w:w="136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Verdict</w:t>
            </w: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72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72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72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72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72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72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72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72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72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72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72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72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40" w:after="80" w:line="252" w:lineRule="auto"/>
      </w:pPr>
      <w:r>
        <w:rPr>
          <w:rFonts w:ascii="Aptos" w:hAnsi="Aptos"/>
          <w:i/>
          <w:color w:val="6B6A66"/>
          <w:sz w:val="18"/>
        </w:rPr>
        <w:t xml:space="preserve">One row per step.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10.34 Process Analysis — blank template</dc:title>
  <dc:creator>Business Analyst Services</dc:creator>
  <cp:lastModifiedBy>Business Analyst Services</cp:lastModifiedBy>
</cp:coreProperties>
</file>