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10.43  Stakeholder List, Map, or Personas</w:t>
      </w:r>
    </w:p>
    <w:p>
      <w:pPr>
        <w:pBdr>
          <w:bottom w:val="single" w:sz="6" w:color="D9D8D0"/>
        </w:pBdr>
        <w:spacing w:before="0" w:after="240" w:line="252" w:lineRule="auto"/>
      </w:pPr>
      <w:r>
        <w:rPr>
          <w:rFonts w:ascii="Aptos" w:hAnsi="Aptos"/>
          <w:color w:val="6B6A66"/>
          <w:sz w:val="20"/>
        </w:rPr>
        <w:t xml:space="preserve">Blank template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5"/>
        </w:rPr>
        <w:t xml:space="preserve">Stakeholder List, Map, or Personas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2952"/>
        <w:gridCol w:w="1296"/>
        <w:gridCol w:w="1296"/>
      </w:tblGrid>
      <w:tr>
        <w:trPr>
          <w:tblHeader/>
        </w:trPr>
        <w:tc>
          <w:tcPr>
            <w:tcW w:w="2952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Influence \ Interest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Low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High</w:t>
            </w:r>
          </w:p>
        </w:tc>
      </w:tr>
      <w:tr>
        <w:tc>
          <w:tcPr>
            <w:tcW w:w="295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High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952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Low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40" w:after="80" w:line="252" w:lineRule="auto"/>
      </w:pPr>
      <w:r>
        <w:rPr>
          <w:rFonts w:ascii="Aptos" w:hAnsi="Aptos"/>
          <w:i/>
          <w:color w:val="6B6A66"/>
          <w:sz w:val="18"/>
        </w:rPr>
        <w:t xml:space="preserve">Place each item in one cell only. If it fits two, the axes are not yet sharp enough.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10.43 Stakeholder List, Map, or Personas — blank template</dc:title>
  <dc:creator>Business Analyst Services</dc:creator>
  <cp:lastModifiedBy>Business Analyst Services</cp:lastModifiedBy>
</cp:coreProperties>
</file>