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before="0" w:after="40" w:line="252" w:lineRule="auto"/>
      </w:pPr>
      <w:r>
        <w:rPr>
          <w:rFonts w:ascii="Aptos" w:hAnsi="Aptos"/>
          <w:b/>
          <w:color w:val="0B0B0B"/>
          <w:sz w:val="44"/>
        </w:rPr>
        <w:t xml:space="preserve">One scenario, sixteen techniques</w:t>
      </w:r>
    </w:p>
    <w:p>
      <w:pPr>
        <w:spacing w:before="0" w:after="120" w:line="252" w:lineRule="auto"/>
      </w:pPr>
      <w:r>
        <w:rPr>
          <w:rFonts w:ascii="Aptos" w:hAnsi="Aptos"/>
          <w:color w:val="184F95"/>
          <w:sz w:val="26"/>
        </w:rPr>
        <w:t xml:space="preserve">Fairgate Roads Authority — heavy vehicle access permits</w:t>
      </w:r>
    </w:p>
    <w:p>
      <w:pPr>
        <w:shd w:val="clear" w:fill="F7F7F5"/>
        <w:spacing w:before="0" w:after="240" w:line="252" w:lineRule="auto"/>
      </w:pPr>
      <w:r>
        <w:rPr>
          <w:rFonts w:ascii="Aptos" w:hAnsi="Aptos"/>
          <w:color w:val="0B0B0B"/>
          <w:sz w:val="21"/>
        </w:rPr>
        <w:t xml:space="preserve">Fairgate issues about 12,000 heavy vehicle access permits a year. An operator applies for a route, an assessor checks it against mass and bridge limits, affected road managers consent, and a permit is issued. It currently takes about 40 days. A new national scheme obliges Fairgate to decide routine applications within 15 days from 1 July, and the authority has no idea whether that is achievable.</w:t>
      </w:r>
    </w:p>
    <w:p>
      <w:pPr>
        <w:spacing w:before="0" w:after="80" w:line="252" w:lineRule="auto"/>
      </w:pPr>
      <w:r>
        <w:rPr>
          <w:rFonts w:ascii="Aptos" w:hAnsi="Aptos"/>
          <w:b/>
          <w:caps/>
          <w:color w:val="6B6A66"/>
          <w:sz w:val="18"/>
          <w:spacing w:val="20"/>
        </w:rPr>
        <w:t xml:space="preserve">THE CHAIN</w:t>
      </w:r>
    </w:p>
    <w:tbl>
      <w:tblPr>
        <w:tblW w:w="0" w:type="auto"/>
        <w:tblBorders>
          <w:top w:val="single" w:sz="6" w:space="0" w:color="D9D8D0"/>
          <w:left w:val="single" w:sz="6" w:space="0" w:color="D9D8D0"/>
          <w:bottom w:val="single" w:sz="6" w:space="0" w:color="D9D8D0"/>
          <w:right w:val="single" w:sz="6" w:space="0" w:color="D9D8D0"/>
          <w:insideH w:val="single" w:sz="6" w:space="0" w:color="D9D8D0"/>
          <w:insideV w:val="single" w:sz="6" w:space="0" w:color="D9D8D0"/>
        </w:tblBorders>
        <w:tblLayout w:type="fixed"/>
      </w:tblPr>
      <w:tblGrid>
        <w:gridCol w:w="576"/>
        <w:gridCol w:w="4176"/>
        <w:gridCol w:w="5616"/>
        <w:gridCol w:w="6048"/>
      </w:tblGrid>
      <w:tr>
        <w:trPr>
          <w:tblHeader/>
        </w:trPr>
        <w:tc>
          <w:tcPr>
            <w:tcW w:w="576"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w:t>
            </w:r>
          </w:p>
        </w:tc>
        <w:tc>
          <w:tcPr>
            <w:tcW w:w="4176"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Technique</w:t>
            </w:r>
          </w:p>
        </w:tc>
        <w:tc>
          <w:tcPr>
            <w:tcW w:w="5616"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Takes</w:t>
            </w:r>
          </w:p>
        </w:tc>
        <w:tc>
          <w:tcPr>
            <w:tcW w:w="6048"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Gives</w:t>
            </w:r>
          </w:p>
        </w:tc>
      </w:tr>
      <w:tr>
        <w:tc>
          <w:tcPr>
            <w:tcW w:w="57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1</w:t>
            </w:r>
          </w:p>
        </w:tc>
        <w:tc>
          <w:tcPr>
            <w:tcW w:w="417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10.43 Stakeholder List, Map, or Personas</w:t>
            </w:r>
          </w:p>
        </w:tc>
        <w:tc>
          <w:tcPr>
            <w:tcW w:w="561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Nothing — this is the first pass.</w:t>
            </w:r>
          </w:p>
        </w:tc>
        <w:tc>
          <w:tcPr>
            <w:tcW w:w="6048"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Eight parties positioned by influence and interest. Road managers turn out to hold a veto nobody had planned around.</w:t>
            </w:r>
          </w:p>
        </w:tc>
      </w:tr>
      <w:tr>
        <w:tc>
          <w:tcPr>
            <w:tcW w:w="57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2</w:t>
            </w:r>
          </w:p>
        </w:tc>
        <w:tc>
          <w:tcPr>
            <w:tcW w:w="417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10.18 Document Analysis</w:t>
            </w:r>
          </w:p>
        </w:tc>
        <w:tc>
          <w:tcPr>
            <w:tcW w:w="561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The stakeholder list, which says who owns which document.</w:t>
            </w:r>
          </w:p>
        </w:tc>
        <w:tc>
          <w:tcPr>
            <w:tcW w:w="6048"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What is already settled, and the three questions only a person can answer. Those become the interview guide.</w:t>
            </w:r>
          </w:p>
        </w:tc>
      </w:tr>
      <w:tr>
        <w:tc>
          <w:tcPr>
            <w:tcW w:w="57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3</w:t>
            </w:r>
          </w:p>
        </w:tc>
        <w:tc>
          <w:tcPr>
            <w:tcW w:w="417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10.31 Observation</w:t>
            </w:r>
          </w:p>
        </w:tc>
        <w:tc>
          <w:tcPr>
            <w:tcW w:w="561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The two unexplained checks from the document analysis.</w:t>
            </w:r>
          </w:p>
        </w:tc>
        <w:tc>
          <w:tcPr>
            <w:tcW w:w="6048"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The real practice, including a shortcut nobody had documented. Feeds the current-state process model.</w:t>
            </w:r>
          </w:p>
        </w:tc>
      </w:tr>
      <w:tr>
        <w:tc>
          <w:tcPr>
            <w:tcW w:w="57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4</w:t>
            </w:r>
          </w:p>
        </w:tc>
        <w:tc>
          <w:tcPr>
            <w:tcW w:w="417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10.35 Process Modelling</w:t>
            </w:r>
          </w:p>
        </w:tc>
        <w:tc>
          <w:tcPr>
            <w:tcW w:w="561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The observed practice, not the documented procedure.</w:t>
            </w:r>
          </w:p>
        </w:tc>
        <w:tc>
          <w:tcPr>
            <w:tcW w:w="6048"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Four stages and the hand-offs between them. These four stage names are used unchanged by every later step.</w:t>
            </w:r>
          </w:p>
        </w:tc>
      </w:tr>
      <w:tr>
        <w:tc>
          <w:tcPr>
            <w:tcW w:w="57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5</w:t>
            </w:r>
          </w:p>
        </w:tc>
        <w:tc>
          <w:tcPr>
            <w:tcW w:w="417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10.34 Process Analysis</w:t>
            </w:r>
          </w:p>
        </w:tc>
        <w:tc>
          <w:tcPr>
            <w:tcW w:w="561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The four stages from the process model, by the same names.</w:t>
            </w:r>
          </w:p>
        </w:tc>
        <w:tc>
          <w:tcPr>
            <w:tcW w:w="6048"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Elapsed against touch time, and a cost to serve of $41 a permit. Both are consumed by the business case.</w:t>
            </w:r>
          </w:p>
        </w:tc>
      </w:tr>
      <w:tr>
        <w:tc>
          <w:tcPr>
            <w:tcW w:w="57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6</w:t>
            </w:r>
          </w:p>
        </w:tc>
        <w:tc>
          <w:tcPr>
            <w:tcW w:w="417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10.40 Root Cause Analysis</w:t>
            </w:r>
          </w:p>
        </w:tc>
        <w:tc>
          <w:tcPr>
            <w:tcW w:w="561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The worst row of the process analysis.</w:t>
            </w:r>
          </w:p>
        </w:tc>
        <w:tc>
          <w:tcPr>
            <w:tcW w:w="6048"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A cause that is about data, not effort. That rules out the obvious option before it is costed.</w:t>
            </w:r>
          </w:p>
        </w:tc>
      </w:tr>
      <w:tr>
        <w:tc>
          <w:tcPr>
            <w:tcW w:w="57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7</w:t>
            </w:r>
          </w:p>
        </w:tc>
        <w:tc>
          <w:tcPr>
            <w:tcW w:w="417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10.20 Financial Analysis</w:t>
            </w:r>
          </w:p>
        </w:tc>
        <w:tc>
          <w:tcPr>
            <w:tcW w:w="561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The $41 cost to serve, and the root cause that says more assessors will not help.</w:t>
            </w:r>
          </w:p>
        </w:tc>
        <w:tc>
          <w:tcPr>
            <w:tcW w:w="6048"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Three options valued over five years at 7%. B has the best NPV, C the fastest payback.</w:t>
            </w:r>
          </w:p>
        </w:tc>
      </w:tr>
      <w:tr>
        <w:tc>
          <w:tcPr>
            <w:tcW w:w="57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8</w:t>
            </w:r>
          </w:p>
        </w:tc>
        <w:tc>
          <w:tcPr>
            <w:tcW w:w="417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10.16 Decision Analysis</w:t>
            </w:r>
          </w:p>
        </w:tc>
        <w:tc>
          <w:tcPr>
            <w:tcW w:w="561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The NPV and payback figures, unchanged.</w:t>
            </w:r>
          </w:p>
        </w:tc>
        <w:tc>
          <w:tcPr>
            <w:tcW w:w="6048"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A recommendation with the weighting visible, so the argument is about criteria rather than preference.</w:t>
            </w:r>
          </w:p>
        </w:tc>
      </w:tr>
      <w:tr>
        <w:tc>
          <w:tcPr>
            <w:tcW w:w="57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9</w:t>
            </w:r>
          </w:p>
        </w:tc>
        <w:tc>
          <w:tcPr>
            <w:tcW w:w="417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10.38 Risk Analysis and Management</w:t>
            </w:r>
          </w:p>
        </w:tc>
        <w:tc>
          <w:tcPr>
            <w:tcW w:w="561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The recommended option, and the road manager veto from the stakeholder map.</w:t>
            </w:r>
          </w:p>
        </w:tc>
        <w:tc>
          <w:tcPr>
            <w:tcW w:w="6048"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An expected monetary value of $196,000, which goes into the business case beside the benefit.</w:t>
            </w:r>
          </w:p>
        </w:tc>
      </w:tr>
      <w:tr>
        <w:tc>
          <w:tcPr>
            <w:tcW w:w="57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10</w:t>
            </w:r>
          </w:p>
        </w:tc>
        <w:tc>
          <w:tcPr>
            <w:tcW w:w="417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10.7 Business Cases</w:t>
            </w:r>
          </w:p>
        </w:tc>
        <w:tc>
          <w:tcPr>
            <w:tcW w:w="561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Need, options, value, risk — each already produced by a step above.</w:t>
            </w:r>
          </w:p>
        </w:tc>
        <w:tc>
          <w:tcPr>
            <w:tcW w:w="6048"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An approved change strategy. Nothing new is invented here; the case is an assembly.</w:t>
            </w:r>
          </w:p>
        </w:tc>
      </w:tr>
      <w:tr>
        <w:tc>
          <w:tcPr>
            <w:tcW w:w="57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11</w:t>
            </w:r>
          </w:p>
        </w:tc>
        <w:tc>
          <w:tcPr>
            <w:tcW w:w="417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10.41 Scope Modelling</w:t>
            </w:r>
          </w:p>
        </w:tc>
        <w:tc>
          <w:tcPr>
            <w:tcW w:w="561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The approved change strategy.</w:t>
            </w:r>
          </w:p>
        </w:tc>
        <w:tc>
          <w:tcPr>
            <w:tcW w:w="6048"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A boundary. The in-scope list becomes the top level of the decomposition, unchanged.</w:t>
            </w:r>
          </w:p>
        </w:tc>
      </w:tr>
      <w:tr>
        <w:tc>
          <w:tcPr>
            <w:tcW w:w="57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12</w:t>
            </w:r>
          </w:p>
        </w:tc>
        <w:tc>
          <w:tcPr>
            <w:tcW w:w="417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10.22 Functional Decomposition</w:t>
            </w:r>
          </w:p>
        </w:tc>
        <w:tc>
          <w:tcPr>
            <w:tcW w:w="561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The four in-scope items, as the top level.</w:t>
            </w:r>
          </w:p>
        </w:tc>
        <w:tc>
          <w:tcPr>
            <w:tcW w:w="6048"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Functions small enough to specify. 'Assess route' is where the rules and the data live.</w:t>
            </w:r>
          </w:p>
        </w:tc>
      </w:tr>
      <w:tr>
        <w:tc>
          <w:tcPr>
            <w:tcW w:w="57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13</w:t>
            </w:r>
          </w:p>
        </w:tc>
        <w:tc>
          <w:tcPr>
            <w:tcW w:w="417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10.9 Business Rules Analysis</w:t>
            </w:r>
          </w:p>
        </w:tc>
        <w:tc>
          <w:tcPr>
            <w:tcW w:w="561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The 'Assess route' function.</w:t>
            </w:r>
          </w:p>
        </w:tc>
        <w:tc>
          <w:tcPr>
            <w:tcW w:w="6048"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Rules held apart from the process. Each names the data elements it needs, which sets the dictionary.</w:t>
            </w:r>
          </w:p>
        </w:tc>
      </w:tr>
      <w:tr>
        <w:tc>
          <w:tcPr>
            <w:tcW w:w="57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14</w:t>
            </w:r>
          </w:p>
        </w:tc>
        <w:tc>
          <w:tcPr>
            <w:tcW w:w="417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10.12 Data Dictionary</w:t>
            </w:r>
          </w:p>
        </w:tc>
        <w:tc>
          <w:tcPr>
            <w:tcW w:w="561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The data column of the rules table.</w:t>
            </w:r>
          </w:p>
        </w:tc>
        <w:tc>
          <w:tcPr>
            <w:tcW w:w="6048"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Element definitions precise enough to build and to migrate.</w:t>
            </w:r>
          </w:p>
        </w:tc>
      </w:tr>
      <w:tr>
        <w:tc>
          <w:tcPr>
            <w:tcW w:w="57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15</w:t>
            </w:r>
          </w:p>
        </w:tc>
        <w:tc>
          <w:tcPr>
            <w:tcW w:w="417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10.44 State Modelling</w:t>
            </w:r>
          </w:p>
        </w:tc>
        <w:tc>
          <w:tcPr>
            <w:tcW w:w="561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The process stages and the refusal rule.</w:t>
            </w:r>
          </w:p>
        </w:tc>
        <w:tc>
          <w:tcPr>
            <w:tcW w:w="6048"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Permitted transitions, including two that must be forbidden.</w:t>
            </w:r>
          </w:p>
        </w:tc>
      </w:tr>
      <w:tr>
        <w:tc>
          <w:tcPr>
            <w:tcW w:w="57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16</w:t>
            </w:r>
          </w:p>
        </w:tc>
        <w:tc>
          <w:tcPr>
            <w:tcW w:w="417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10.28 Metrics and Key Performance Indicators</w:t>
            </w:r>
          </w:p>
        </w:tc>
        <w:tc>
          <w:tcPr>
            <w:tcW w:w="561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The benefits claimed in the business case, and the states just defined.</w:t>
            </w:r>
          </w:p>
        </w:tc>
        <w:tc>
          <w:tcPr>
            <w:tcW w:w="6048"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Measures with targets and the threshold at which someone must act. This is what closes the loop back to step 5.</w:t>
            </w:r>
          </w:p>
        </w:tc>
      </w:tr>
    </w:tbl>
    <w:p>
      <w:pPr>
        <w:spacing w:before="0" w:after="120" w:line="252" w:lineRule="auto"/>
      </w:pPr>
    </w:p>
    <w:p>
      <w:pPr>
        <w:pBdr>
          <w:bottom w:val="single" w:sz="6" w:color="D9D8D0"/>
        </w:pBdr>
        <w:spacing w:before="280" w:after="40" w:line="252" w:lineRule="auto"/>
      </w:pPr>
      <w:r>
        <w:rPr>
          <w:rFonts w:ascii="Aptos" w:hAnsi="Aptos"/>
          <w:b/>
          <w:color w:val="0B0B0B"/>
          <w:sz w:val="28"/>
        </w:rPr>
        <w:t xml:space="preserve">STEP 1  ·  10.43 Stakeholder List, Map, or Personas</w:t>
      </w:r>
    </w:p>
    <w:p>
      <w:pPr>
        <w:spacing w:before="0" w:after="120" w:line="252" w:lineRule="auto"/>
      </w:pPr>
      <w:r>
        <w:rPr>
          <w:rFonts w:ascii="Aptos" w:hAnsi="Aptos"/>
          <w:i/>
          <w:color w:val="184F95"/>
          <w:sz w:val="22"/>
        </w:rPr>
        <w:t xml:space="preserve">Who is affected, and who actually decides?</w:t>
      </w:r>
    </w:p>
    <w:tbl>
      <w:tblPr>
        <w:tblW w:w="0" w:type="auto"/>
        <w:tblBorders>
          <w:top w:val="single" w:sz="6" w:space="0" w:color="D9D8D0"/>
          <w:left w:val="single" w:sz="6" w:space="0" w:color="D9D8D0"/>
          <w:bottom w:val="single" w:sz="6" w:space="0" w:color="D9D8D0"/>
          <w:right w:val="single" w:sz="6" w:space="0" w:color="D9D8D0"/>
          <w:insideH w:val="single" w:sz="6" w:space="0" w:color="D9D8D0"/>
          <w:insideV w:val="single" w:sz="6" w:space="0" w:color="D9D8D0"/>
        </w:tblBorders>
        <w:tblLayout w:type="fixed"/>
      </w:tblPr>
      <w:tblGrid>
        <w:gridCol w:w="1440"/>
        <w:gridCol w:w="14976"/>
      </w:tblGrid>
      <w:tr>
        <w:tc>
          <w:tcPr>
            <w:tcW w:w="1440" w:type="dxa"/>
            <w:shd w:val="clear" w:fill="F7F7F5"/>
            <w:tcMar>
              <w:top w:w="72" w:type="dxa"/>
              <w:left w:w="108" w:type="dxa"/>
              <w:bottom w:w="72" w:type="dxa"/>
              <w:right w:w="108" w:type="dxa"/>
            </w:tcMar>
            <w:vAlign w:val="top"/>
          </w:tcPr>
          <w:p>
            <w:pPr>
              <w:spacing w:before="0" w:after="0" w:line="252" w:lineRule="auto"/>
            </w:pPr>
            <w:r>
              <w:rPr>
                <w:rFonts w:ascii="Aptos" w:hAnsi="Aptos"/>
                <w:b/>
                <w:color w:val="0B0B0B"/>
                <w:sz w:val="18"/>
              </w:rPr>
              <w:t xml:space="preserve">Takes</w:t>
            </w:r>
          </w:p>
        </w:tc>
        <w:tc>
          <w:tcPr>
            <w:tcW w:w="1497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8"/>
              </w:rPr>
              <w:t xml:space="preserve">Nothing — this is the first pass.</w:t>
            </w:r>
          </w:p>
        </w:tc>
      </w:tr>
      <w:tr>
        <w:tc>
          <w:tcPr>
            <w:tcW w:w="1440" w:type="dxa"/>
            <w:shd w:val="clear" w:fill="FFFFFF"/>
            <w:tcMar>
              <w:top w:w="72" w:type="dxa"/>
              <w:left w:w="108" w:type="dxa"/>
              <w:bottom w:w="72" w:type="dxa"/>
              <w:right w:w="108" w:type="dxa"/>
            </w:tcMar>
            <w:vAlign w:val="top"/>
          </w:tcPr>
          <w:p>
            <w:pPr>
              <w:spacing w:before="0" w:after="0" w:line="252" w:lineRule="auto"/>
            </w:pPr>
            <w:r>
              <w:rPr>
                <w:rFonts w:ascii="Aptos" w:hAnsi="Aptos"/>
                <w:b/>
                <w:color w:val="0B0B0B"/>
                <w:sz w:val="18"/>
              </w:rPr>
              <w:t xml:space="preserve">Gives</w:t>
            </w:r>
          </w:p>
        </w:tc>
        <w:tc>
          <w:tcPr>
            <w:tcW w:w="1497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8"/>
              </w:rPr>
              <w:t xml:space="preserve">Eight parties positioned by influence and interest. Road managers turn out to hold a veto nobody had planned around.</w:t>
            </w:r>
          </w:p>
        </w:tc>
      </w:tr>
    </w:tbl>
    <w:p>
      <w:pPr>
        <w:spacing w:before="0" w:after="120" w:line="252" w:lineRule="auto"/>
      </w:pPr>
    </w:p>
    <w:p>
      <w:pPr>
        <w:spacing w:before="0" w:after="80" w:line="252" w:lineRule="auto"/>
      </w:pPr>
      <w:r>
        <w:rPr>
          <w:rFonts w:ascii="Aptos" w:hAnsi="Aptos"/>
          <w:b/>
          <w:color w:val="0B0B0B"/>
          <w:sz w:val="22"/>
        </w:rPr>
        <w:t xml:space="preserve">Who matters, and how much</w:t>
      </w:r>
    </w:p>
    <w:tbl>
      <w:tblPr>
        <w:tblW w:w="0" w:type="auto"/>
        <w:tblBorders>
          <w:top w:val="single" w:sz="6" w:space="0" w:color="D9D8D0"/>
          <w:left w:val="single" w:sz="6" w:space="0" w:color="D9D8D0"/>
          <w:bottom w:val="single" w:sz="6" w:space="0" w:color="D9D8D0"/>
          <w:right w:val="single" w:sz="6" w:space="0" w:color="D9D8D0"/>
          <w:insideH w:val="single" w:sz="6" w:space="0" w:color="D9D8D0"/>
          <w:insideV w:val="single" w:sz="6" w:space="0" w:color="D9D8D0"/>
        </w:tblBorders>
        <w:tblLayout w:type="fixed"/>
      </w:tblPr>
      <w:tblGrid>
        <w:gridCol w:w="2952"/>
        <w:gridCol w:w="4896"/>
        <w:gridCol w:w="4896"/>
      </w:tblGrid>
      <w:tr>
        <w:trPr>
          <w:tblHeader/>
        </w:trPr>
        <w:tc>
          <w:tcPr>
            <w:tcW w:w="2952"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Influence \ Interest</w:t>
            </w:r>
          </w:p>
        </w:tc>
        <w:tc>
          <w:tcPr>
            <w:tcW w:w="4896"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Low</w:t>
            </w:r>
          </w:p>
        </w:tc>
        <w:tc>
          <w:tcPr>
            <w:tcW w:w="4896"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High</w:t>
            </w:r>
          </w:p>
        </w:tc>
      </w:tr>
      <w:tr>
        <w:tc>
          <w:tcPr>
            <w:tcW w:w="2952"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High</w:t>
            </w:r>
          </w:p>
        </w:tc>
        <w:tc>
          <w:tcPr>
            <w:tcW w:w="48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KEEP SATISFIED
Transport regulator
Fairgate executive</w:t>
            </w:r>
          </w:p>
        </w:tc>
        <w:tc>
          <w:tcPr>
            <w:tcW w:w="48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MANAGE CLOSELY
Road managers (11 councils)
Permit assessors
Freight operators</w:t>
            </w:r>
          </w:p>
        </w:tc>
      </w:tr>
      <w:tr>
        <w:tc>
          <w:tcPr>
            <w:tcW w:w="2952"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Low</w:t>
            </w:r>
          </w:p>
        </w:tc>
        <w:tc>
          <w:tcPr>
            <w:tcW w:w="48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Finance</w:t>
            </w:r>
          </w:p>
        </w:tc>
        <w:tc>
          <w:tcPr>
            <w:tcW w:w="48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KEEP INFORMED
Police heavy vehicle unit
Bridge engineering</w:t>
            </w:r>
          </w:p>
        </w:tc>
      </w:tr>
    </w:tbl>
    <w:p>
      <w:pPr>
        <w:spacing w:before="0" w:after="120" w:line="252" w:lineRule="auto"/>
      </w:pPr>
    </w:p>
    <w:p>
      <w:pPr>
        <w:spacing w:before="0" w:after="80" w:line="252" w:lineRule="auto"/>
      </w:pPr>
      <w:r>
        <w:rPr>
          <w:rFonts w:ascii="Aptos" w:hAnsi="Aptos"/>
          <w:i/>
          <w:color w:val="6B6A66"/>
          <w:sz w:val="18"/>
        </w:rPr>
        <w:t xml:space="preserve">Road managers are external to Fairgate and consent individually. That is the first sign the 15-day obligation is not entirely within Fairgate's control.</w:t>
      </w:r>
    </w:p>
    <w:p>
      <w:pPr>
        <w:spacing w:before="0" w:after="120" w:line="252" w:lineRule="auto"/>
      </w:pPr>
      <w:r>
        <w:rPr>
          <w:rFonts w:ascii="Aptos" w:hAnsi="Aptos"/>
          <w:color w:val="6B6A66"/>
          <w:sz w:val="18"/>
        </w:rPr>
        <w:t xml:space="preserve">Why this and not its neighbour: Identifying and positioning stakeholders is analysis; deciding how often and how formally to deal with each is engagement planning under task 3.2. Producing a map is not the same as having a plan.</w:t>
      </w:r>
    </w:p>
    <w:p>
      <w:pPr>
        <w:pBdr>
          <w:bottom w:val="single" w:sz="6" w:color="D9D8D0"/>
        </w:pBdr>
        <w:spacing w:before="280" w:after="40" w:line="252" w:lineRule="auto"/>
      </w:pPr>
      <w:r>
        <w:rPr>
          <w:rFonts w:ascii="Aptos" w:hAnsi="Aptos"/>
          <w:b/>
          <w:color w:val="0B0B0B"/>
          <w:sz w:val="28"/>
        </w:rPr>
        <w:t xml:space="preserve">STEP 2  ·  10.18 Document Analysis</w:t>
      </w:r>
    </w:p>
    <w:p>
      <w:pPr>
        <w:spacing w:before="0" w:after="120" w:line="252" w:lineRule="auto"/>
      </w:pPr>
      <w:r>
        <w:rPr>
          <w:rFonts w:ascii="Aptos" w:hAnsi="Aptos"/>
          <w:i/>
          <w:color w:val="184F95"/>
          <w:sz w:val="22"/>
        </w:rPr>
        <w:t xml:space="preserve">What do the existing artefacts already answer?</w:t>
      </w:r>
    </w:p>
    <w:tbl>
      <w:tblPr>
        <w:tblW w:w="0" w:type="auto"/>
        <w:tblBorders>
          <w:top w:val="single" w:sz="6" w:space="0" w:color="D9D8D0"/>
          <w:left w:val="single" w:sz="6" w:space="0" w:color="D9D8D0"/>
          <w:bottom w:val="single" w:sz="6" w:space="0" w:color="D9D8D0"/>
          <w:right w:val="single" w:sz="6" w:space="0" w:color="D9D8D0"/>
          <w:insideH w:val="single" w:sz="6" w:space="0" w:color="D9D8D0"/>
          <w:insideV w:val="single" w:sz="6" w:space="0" w:color="D9D8D0"/>
        </w:tblBorders>
        <w:tblLayout w:type="fixed"/>
      </w:tblPr>
      <w:tblGrid>
        <w:gridCol w:w="1440"/>
        <w:gridCol w:w="14976"/>
      </w:tblGrid>
      <w:tr>
        <w:tc>
          <w:tcPr>
            <w:tcW w:w="1440" w:type="dxa"/>
            <w:shd w:val="clear" w:fill="F7F7F5"/>
            <w:tcMar>
              <w:top w:w="72" w:type="dxa"/>
              <w:left w:w="108" w:type="dxa"/>
              <w:bottom w:w="72" w:type="dxa"/>
              <w:right w:w="108" w:type="dxa"/>
            </w:tcMar>
            <w:vAlign w:val="top"/>
          </w:tcPr>
          <w:p>
            <w:pPr>
              <w:spacing w:before="0" w:after="0" w:line="252" w:lineRule="auto"/>
            </w:pPr>
            <w:r>
              <w:rPr>
                <w:rFonts w:ascii="Aptos" w:hAnsi="Aptos"/>
                <w:b/>
                <w:color w:val="0B0B0B"/>
                <w:sz w:val="18"/>
              </w:rPr>
              <w:t xml:space="preserve">Takes</w:t>
            </w:r>
          </w:p>
        </w:tc>
        <w:tc>
          <w:tcPr>
            <w:tcW w:w="1497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8"/>
              </w:rPr>
              <w:t xml:space="preserve">The stakeholder list, which says who owns which document.</w:t>
            </w:r>
          </w:p>
        </w:tc>
      </w:tr>
      <w:tr>
        <w:tc>
          <w:tcPr>
            <w:tcW w:w="1440" w:type="dxa"/>
            <w:shd w:val="clear" w:fill="FFFFFF"/>
            <w:tcMar>
              <w:top w:w="72" w:type="dxa"/>
              <w:left w:w="108" w:type="dxa"/>
              <w:bottom w:w="72" w:type="dxa"/>
              <w:right w:w="108" w:type="dxa"/>
            </w:tcMar>
            <w:vAlign w:val="top"/>
          </w:tcPr>
          <w:p>
            <w:pPr>
              <w:spacing w:before="0" w:after="0" w:line="252" w:lineRule="auto"/>
            </w:pPr>
            <w:r>
              <w:rPr>
                <w:rFonts w:ascii="Aptos" w:hAnsi="Aptos"/>
                <w:b/>
                <w:color w:val="0B0B0B"/>
                <w:sz w:val="18"/>
              </w:rPr>
              <w:t xml:space="preserve">Gives</w:t>
            </w:r>
          </w:p>
        </w:tc>
        <w:tc>
          <w:tcPr>
            <w:tcW w:w="1497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8"/>
              </w:rPr>
              <w:t xml:space="preserve">What is already settled, and the three questions only a person can answer. Those become the interview guide.</w:t>
            </w:r>
          </w:p>
        </w:tc>
      </w:tr>
    </w:tbl>
    <w:p>
      <w:pPr>
        <w:spacing w:before="0" w:after="120" w:line="252" w:lineRule="auto"/>
      </w:pPr>
    </w:p>
    <w:p>
      <w:pPr>
        <w:spacing w:before="0" w:after="80" w:line="252" w:lineRule="auto"/>
      </w:pPr>
      <w:r>
        <w:rPr>
          <w:rFonts w:ascii="Aptos" w:hAnsi="Aptos"/>
          <w:b/>
          <w:color w:val="0B0B0B"/>
          <w:sz w:val="22"/>
        </w:rPr>
        <w:t xml:space="preserve">Read before anyone's time is booked</w:t>
      </w:r>
    </w:p>
    <w:tbl>
      <w:tblPr>
        <w:tblW w:w="0" w:type="auto"/>
        <w:tblBorders>
          <w:top w:val="single" w:sz="6" w:space="0" w:color="D9D8D0"/>
          <w:left w:val="single" w:sz="6" w:space="0" w:color="D9D8D0"/>
          <w:bottom w:val="single" w:sz="6" w:space="0" w:color="D9D8D0"/>
          <w:right w:val="single" w:sz="6" w:space="0" w:color="D9D8D0"/>
          <w:insideH w:val="single" w:sz="6" w:space="0" w:color="D9D8D0"/>
          <w:insideV w:val="single" w:sz="6" w:space="0" w:color="D9D8D0"/>
        </w:tblBorders>
        <w:tblLayout w:type="fixed"/>
      </w:tblPr>
      <w:tblGrid>
        <w:gridCol w:w="3816"/>
        <w:gridCol w:w="4666"/>
        <w:gridCol w:w="4896"/>
      </w:tblGrid>
      <w:tr>
        <w:trPr>
          <w:tblHeader/>
        </w:trPr>
        <w:tc>
          <w:tcPr>
            <w:tcW w:w="3816"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Source</w:t>
            </w:r>
          </w:p>
        </w:tc>
        <w:tc>
          <w:tcPr>
            <w:tcW w:w="4666"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What it settled</w:t>
            </w:r>
          </w:p>
        </w:tc>
        <w:tc>
          <w:tcPr>
            <w:tcW w:w="4896"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What it could not</w:t>
            </w:r>
          </w:p>
        </w:tc>
      </w:tr>
      <w:tr>
        <w:tc>
          <w:tcPr>
            <w:tcW w:w="381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National scheme instrument</w:t>
            </w:r>
          </w:p>
        </w:tc>
        <w:tc>
          <w:tcPr>
            <w:tcW w:w="466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15 days, routine applications only</w:t>
            </w:r>
          </w:p>
        </w:tc>
        <w:tc>
          <w:tcPr>
            <w:tcW w:w="48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What counts as routine</w:t>
            </w:r>
          </w:p>
        </w:tc>
      </w:tr>
      <w:tr>
        <w:tc>
          <w:tcPr>
            <w:tcW w:w="381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Assessment procedure v4</w:t>
            </w:r>
          </w:p>
        </w:tc>
        <w:tc>
          <w:tcPr>
            <w:tcW w:w="466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The 6 documented checks</w:t>
            </w:r>
          </w:p>
        </w:tc>
        <w:tc>
          <w:tcPr>
            <w:tcW w:w="48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Why 2 of them are skipped at volume</w:t>
            </w:r>
          </w:p>
        </w:tc>
      </w:tr>
      <w:tr>
        <w:tc>
          <w:tcPr>
            <w:tcW w:w="381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Consent deed, 11 councils</w:t>
            </w:r>
          </w:p>
        </w:tc>
        <w:tc>
          <w:tcPr>
            <w:tcW w:w="466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Each council has 10 business days</w:t>
            </w:r>
          </w:p>
        </w:tc>
        <w:tc>
          <w:tcPr>
            <w:tcW w:w="48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Whether that runs concurrently or in series</w:t>
            </w:r>
          </w:p>
        </w:tc>
      </w:tr>
      <w:tr>
        <w:tc>
          <w:tcPr>
            <w:tcW w:w="381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Permit system specification</w:t>
            </w:r>
          </w:p>
        </w:tc>
        <w:tc>
          <w:tcPr>
            <w:tcW w:w="466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Fields captured at lodgement</w:t>
            </w:r>
          </w:p>
        </w:tc>
        <w:tc>
          <w:tcPr>
            <w:tcW w:w="48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Whether route data is reliable enough to automate</w:t>
            </w:r>
          </w:p>
        </w:tc>
      </w:tr>
    </w:tbl>
    <w:p>
      <w:pPr>
        <w:spacing w:before="0" w:after="120" w:line="252" w:lineRule="auto"/>
      </w:pPr>
    </w:p>
    <w:p>
      <w:pPr>
        <w:spacing w:before="0" w:after="80" w:line="252" w:lineRule="auto"/>
      </w:pPr>
      <w:r>
        <w:rPr>
          <w:rFonts w:ascii="Aptos" w:hAnsi="Aptos"/>
          <w:i/>
          <w:color w:val="6B6A66"/>
          <w:sz w:val="18"/>
        </w:rPr>
        <w:t xml:space="preserve">The consent question matters most: 11 councils at 10 days in series cannot fit inside 15 days at all.</w:t>
      </w:r>
    </w:p>
    <w:p>
      <w:pPr>
        <w:spacing w:before="0" w:after="120" w:line="252" w:lineRule="auto"/>
      </w:pPr>
      <w:r>
        <w:rPr>
          <w:rFonts w:ascii="Aptos" w:hAnsi="Aptos"/>
          <w:color w:val="6B6A66"/>
          <w:sz w:val="18"/>
        </w:rPr>
        <w:t xml:space="preserve">Why this and not its neighbour: Document analysis is elicitation from artefacts, not verification of your own work. If the material being examined is the requirements you just wrote, that is reviews.</w:t>
      </w:r>
    </w:p>
    <w:p>
      <w:pPr>
        <w:pBdr>
          <w:bottom w:val="single" w:sz="6" w:color="D9D8D0"/>
        </w:pBdr>
        <w:spacing w:before="280" w:after="40" w:line="252" w:lineRule="auto"/>
      </w:pPr>
      <w:r>
        <w:rPr>
          <w:rFonts w:ascii="Aptos" w:hAnsi="Aptos"/>
          <w:b/>
          <w:color w:val="0B0B0B"/>
          <w:sz w:val="28"/>
        </w:rPr>
        <w:t xml:space="preserve">STEP 3  ·  10.31 Observation</w:t>
      </w:r>
    </w:p>
    <w:p>
      <w:pPr>
        <w:spacing w:before="0" w:after="120" w:line="252" w:lineRule="auto"/>
      </w:pPr>
      <w:r>
        <w:rPr>
          <w:rFonts w:ascii="Aptos" w:hAnsi="Aptos"/>
          <w:i/>
          <w:color w:val="184F95"/>
          <w:sz w:val="22"/>
        </w:rPr>
        <w:t xml:space="preserve">What do assessors actually do, as opposed to what the procedure says?</w:t>
      </w:r>
    </w:p>
    <w:tbl>
      <w:tblPr>
        <w:tblW w:w="0" w:type="auto"/>
        <w:tblBorders>
          <w:top w:val="single" w:sz="6" w:space="0" w:color="D9D8D0"/>
          <w:left w:val="single" w:sz="6" w:space="0" w:color="D9D8D0"/>
          <w:bottom w:val="single" w:sz="6" w:space="0" w:color="D9D8D0"/>
          <w:right w:val="single" w:sz="6" w:space="0" w:color="D9D8D0"/>
          <w:insideH w:val="single" w:sz="6" w:space="0" w:color="D9D8D0"/>
          <w:insideV w:val="single" w:sz="6" w:space="0" w:color="D9D8D0"/>
        </w:tblBorders>
        <w:tblLayout w:type="fixed"/>
      </w:tblPr>
      <w:tblGrid>
        <w:gridCol w:w="1440"/>
        <w:gridCol w:w="14976"/>
      </w:tblGrid>
      <w:tr>
        <w:tc>
          <w:tcPr>
            <w:tcW w:w="1440" w:type="dxa"/>
            <w:shd w:val="clear" w:fill="F7F7F5"/>
            <w:tcMar>
              <w:top w:w="72" w:type="dxa"/>
              <w:left w:w="108" w:type="dxa"/>
              <w:bottom w:w="72" w:type="dxa"/>
              <w:right w:w="108" w:type="dxa"/>
            </w:tcMar>
            <w:vAlign w:val="top"/>
          </w:tcPr>
          <w:p>
            <w:pPr>
              <w:spacing w:before="0" w:after="0" w:line="252" w:lineRule="auto"/>
            </w:pPr>
            <w:r>
              <w:rPr>
                <w:rFonts w:ascii="Aptos" w:hAnsi="Aptos"/>
                <w:b/>
                <w:color w:val="0B0B0B"/>
                <w:sz w:val="18"/>
              </w:rPr>
              <w:t xml:space="preserve">Takes</w:t>
            </w:r>
          </w:p>
        </w:tc>
        <w:tc>
          <w:tcPr>
            <w:tcW w:w="1497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8"/>
              </w:rPr>
              <w:t xml:space="preserve">The two unexplained checks from the document analysis.</w:t>
            </w:r>
          </w:p>
        </w:tc>
      </w:tr>
      <w:tr>
        <w:tc>
          <w:tcPr>
            <w:tcW w:w="1440" w:type="dxa"/>
            <w:shd w:val="clear" w:fill="FFFFFF"/>
            <w:tcMar>
              <w:top w:w="72" w:type="dxa"/>
              <w:left w:w="108" w:type="dxa"/>
              <w:bottom w:w="72" w:type="dxa"/>
              <w:right w:w="108" w:type="dxa"/>
            </w:tcMar>
            <w:vAlign w:val="top"/>
          </w:tcPr>
          <w:p>
            <w:pPr>
              <w:spacing w:before="0" w:after="0" w:line="252" w:lineRule="auto"/>
            </w:pPr>
            <w:r>
              <w:rPr>
                <w:rFonts w:ascii="Aptos" w:hAnsi="Aptos"/>
                <w:b/>
                <w:color w:val="0B0B0B"/>
                <w:sz w:val="18"/>
              </w:rPr>
              <w:t xml:space="preserve">Gives</w:t>
            </w:r>
          </w:p>
        </w:tc>
        <w:tc>
          <w:tcPr>
            <w:tcW w:w="1497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8"/>
              </w:rPr>
              <w:t xml:space="preserve">The real practice, including a shortcut nobody had documented. Feeds the current-state process model.</w:t>
            </w:r>
          </w:p>
        </w:tc>
      </w:tr>
    </w:tbl>
    <w:p>
      <w:pPr>
        <w:spacing w:before="0" w:after="120" w:line="252" w:lineRule="auto"/>
      </w:pPr>
    </w:p>
    <w:p>
      <w:pPr>
        <w:spacing w:before="0" w:after="80" w:line="252" w:lineRule="auto"/>
      </w:pPr>
      <w:r>
        <w:rPr>
          <w:rFonts w:ascii="Aptos" w:hAnsi="Aptos"/>
          <w:b/>
          <w:color w:val="0B0B0B"/>
          <w:sz w:val="22"/>
        </w:rPr>
        <w:t xml:space="preserve">Six documented checks, watched across nine applications</w:t>
      </w:r>
    </w:p>
    <w:tbl>
      <w:tblPr>
        <w:tblW w:w="0" w:type="auto"/>
        <w:tblBorders>
          <w:top w:val="single" w:sz="6" w:space="0" w:color="D9D8D0"/>
          <w:left w:val="single" w:sz="6" w:space="0" w:color="D9D8D0"/>
          <w:bottom w:val="single" w:sz="6" w:space="0" w:color="D9D8D0"/>
          <w:right w:val="single" w:sz="6" w:space="0" w:color="D9D8D0"/>
          <w:insideH w:val="single" w:sz="6" w:space="0" w:color="D9D8D0"/>
          <w:insideV w:val="single" w:sz="6" w:space="0" w:color="D9D8D0"/>
        </w:tblBorders>
        <w:tblLayout w:type="fixed"/>
      </w:tblPr>
      <w:tblGrid>
        <w:gridCol w:w="3931"/>
        <w:gridCol w:w="4550"/>
        <w:gridCol w:w="4896"/>
      </w:tblGrid>
      <w:tr>
        <w:trPr>
          <w:tblHeader/>
        </w:trPr>
        <w:tc>
          <w:tcPr>
            <w:tcW w:w="3931"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Documented check</w:t>
            </w:r>
          </w:p>
        </w:tc>
        <w:tc>
          <w:tcPr>
            <w:tcW w:w="4550"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Observed</w:t>
            </w:r>
          </w:p>
        </w:tc>
        <w:tc>
          <w:tcPr>
            <w:tcW w:w="4896"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Gap</w:t>
            </w:r>
          </w:p>
        </w:tc>
      </w:tr>
      <w:tr>
        <w:tc>
          <w:tcPr>
            <w:tcW w:w="3931"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1. Vehicle configuration</w:t>
            </w:r>
          </w:p>
        </w:tc>
        <w:tc>
          <w:tcPr>
            <w:tcW w:w="4550"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Done every time</w:t>
            </w:r>
          </w:p>
        </w:tc>
        <w:tc>
          <w:tcPr>
            <w:tcW w:w="48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None</w:t>
            </w:r>
          </w:p>
        </w:tc>
      </w:tr>
      <w:tr>
        <w:tc>
          <w:tcPr>
            <w:tcW w:w="3931"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2. Mass limits</w:t>
            </w:r>
          </w:p>
        </w:tc>
        <w:tc>
          <w:tcPr>
            <w:tcW w:w="4550"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Done every time</w:t>
            </w:r>
          </w:p>
        </w:tc>
        <w:tc>
          <w:tcPr>
            <w:tcW w:w="48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None</w:t>
            </w:r>
          </w:p>
        </w:tc>
      </w:tr>
      <w:tr>
        <w:tc>
          <w:tcPr>
            <w:tcW w:w="3931"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3. Bridge capacity</w:t>
            </w:r>
          </w:p>
        </w:tc>
        <w:tc>
          <w:tcPr>
            <w:tcW w:w="4550"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Skipped when the route is 'known'</w:t>
            </w:r>
          </w:p>
        </w:tc>
        <w:tc>
          <w:tcPr>
            <w:tcW w:w="48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'Known' is the assessor's memory, not a register</w:t>
            </w:r>
          </w:p>
        </w:tc>
      </w:tr>
      <w:tr>
        <w:tc>
          <w:tcPr>
            <w:tcW w:w="3931"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4. Road manager list</w:t>
            </w:r>
          </w:p>
        </w:tc>
        <w:tc>
          <w:tcPr>
            <w:tcW w:w="4550"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Done every time</w:t>
            </w:r>
          </w:p>
        </w:tc>
        <w:tc>
          <w:tcPr>
            <w:tcW w:w="48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None</w:t>
            </w:r>
          </w:p>
        </w:tc>
      </w:tr>
      <w:tr>
        <w:tc>
          <w:tcPr>
            <w:tcW w:w="3931"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5. Seasonal load restriction</w:t>
            </w:r>
          </w:p>
        </w:tc>
        <w:tc>
          <w:tcPr>
            <w:tcW w:w="4550"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Skipped in 7 of 9</w:t>
            </w:r>
          </w:p>
        </w:tc>
        <w:tc>
          <w:tcPr>
            <w:tcW w:w="48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Restriction data sits in a separate system nobody opens</w:t>
            </w:r>
          </w:p>
        </w:tc>
      </w:tr>
      <w:tr>
        <w:tc>
          <w:tcPr>
            <w:tcW w:w="3931"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6. Prior refusal check</w:t>
            </w:r>
          </w:p>
        </w:tc>
        <w:tc>
          <w:tcPr>
            <w:tcW w:w="4550"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Done every time</w:t>
            </w:r>
          </w:p>
        </w:tc>
        <w:tc>
          <w:tcPr>
            <w:tcW w:w="48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None</w:t>
            </w:r>
          </w:p>
        </w:tc>
      </w:tr>
    </w:tbl>
    <w:p>
      <w:pPr>
        <w:spacing w:before="0" w:after="120" w:line="252" w:lineRule="auto"/>
      </w:pPr>
    </w:p>
    <w:p>
      <w:pPr>
        <w:spacing w:before="0" w:after="80" w:line="252" w:lineRule="auto"/>
      </w:pPr>
      <w:r>
        <w:rPr>
          <w:rFonts w:ascii="Aptos" w:hAnsi="Aptos"/>
          <w:i/>
          <w:color w:val="6B6A66"/>
          <w:sz w:val="18"/>
        </w:rPr>
        <w:t xml:space="preserve">Two of the six checks rely on recall rather than data. Both are the checks that generate rework when a road manager objects.</w:t>
      </w:r>
    </w:p>
    <w:p>
      <w:pPr>
        <w:spacing w:before="0" w:after="120" w:line="252" w:lineRule="auto"/>
      </w:pPr>
      <w:r>
        <w:rPr>
          <w:rFonts w:ascii="Aptos" w:hAnsi="Aptos"/>
          <w:color w:val="6B6A66"/>
          <w:sz w:val="18"/>
        </w:rPr>
        <w:t xml:space="preserve">Why this and not its neighbour: Observation elicits from the work itself; interviews elicit from the person. If the scenario stresses that the documented procedure is not being followed, the answer is almost always observation.</w:t>
      </w:r>
    </w:p>
    <w:p>
      <w:pPr>
        <w:pBdr>
          <w:bottom w:val="single" w:sz="6" w:color="D9D8D0"/>
        </w:pBdr>
        <w:spacing w:before="280" w:after="40" w:line="252" w:lineRule="auto"/>
      </w:pPr>
      <w:r>
        <w:rPr>
          <w:rFonts w:ascii="Aptos" w:hAnsi="Aptos"/>
          <w:b/>
          <w:color w:val="0B0B0B"/>
          <w:sz w:val="28"/>
        </w:rPr>
        <w:t xml:space="preserve">STEP 4  ·  10.35 Process Modelling</w:t>
      </w:r>
    </w:p>
    <w:p>
      <w:pPr>
        <w:spacing w:before="0" w:after="120" w:line="252" w:lineRule="auto"/>
      </w:pPr>
      <w:r>
        <w:rPr>
          <w:rFonts w:ascii="Aptos" w:hAnsi="Aptos"/>
          <w:i/>
          <w:color w:val="184F95"/>
          <w:sz w:val="22"/>
        </w:rPr>
        <w:t xml:space="preserve">What is the end-to-end flow, and where does it change hands?</w:t>
      </w:r>
    </w:p>
    <w:tbl>
      <w:tblPr>
        <w:tblW w:w="0" w:type="auto"/>
        <w:tblBorders>
          <w:top w:val="single" w:sz="6" w:space="0" w:color="D9D8D0"/>
          <w:left w:val="single" w:sz="6" w:space="0" w:color="D9D8D0"/>
          <w:bottom w:val="single" w:sz="6" w:space="0" w:color="D9D8D0"/>
          <w:right w:val="single" w:sz="6" w:space="0" w:color="D9D8D0"/>
          <w:insideH w:val="single" w:sz="6" w:space="0" w:color="D9D8D0"/>
          <w:insideV w:val="single" w:sz="6" w:space="0" w:color="D9D8D0"/>
        </w:tblBorders>
        <w:tblLayout w:type="fixed"/>
      </w:tblPr>
      <w:tblGrid>
        <w:gridCol w:w="1440"/>
        <w:gridCol w:w="14976"/>
      </w:tblGrid>
      <w:tr>
        <w:tc>
          <w:tcPr>
            <w:tcW w:w="1440" w:type="dxa"/>
            <w:shd w:val="clear" w:fill="F7F7F5"/>
            <w:tcMar>
              <w:top w:w="72" w:type="dxa"/>
              <w:left w:w="108" w:type="dxa"/>
              <w:bottom w:w="72" w:type="dxa"/>
              <w:right w:w="108" w:type="dxa"/>
            </w:tcMar>
            <w:vAlign w:val="top"/>
          </w:tcPr>
          <w:p>
            <w:pPr>
              <w:spacing w:before="0" w:after="0" w:line="252" w:lineRule="auto"/>
            </w:pPr>
            <w:r>
              <w:rPr>
                <w:rFonts w:ascii="Aptos" w:hAnsi="Aptos"/>
                <w:b/>
                <w:color w:val="0B0B0B"/>
                <w:sz w:val="18"/>
              </w:rPr>
              <w:t xml:space="preserve">Takes</w:t>
            </w:r>
          </w:p>
        </w:tc>
        <w:tc>
          <w:tcPr>
            <w:tcW w:w="1497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8"/>
              </w:rPr>
              <w:t xml:space="preserve">The observed practice, not the documented procedure.</w:t>
            </w:r>
          </w:p>
        </w:tc>
      </w:tr>
      <w:tr>
        <w:tc>
          <w:tcPr>
            <w:tcW w:w="1440" w:type="dxa"/>
            <w:shd w:val="clear" w:fill="FFFFFF"/>
            <w:tcMar>
              <w:top w:w="72" w:type="dxa"/>
              <w:left w:w="108" w:type="dxa"/>
              <w:bottom w:w="72" w:type="dxa"/>
              <w:right w:w="108" w:type="dxa"/>
            </w:tcMar>
            <w:vAlign w:val="top"/>
          </w:tcPr>
          <w:p>
            <w:pPr>
              <w:spacing w:before="0" w:after="0" w:line="252" w:lineRule="auto"/>
            </w:pPr>
            <w:r>
              <w:rPr>
                <w:rFonts w:ascii="Aptos" w:hAnsi="Aptos"/>
                <w:b/>
                <w:color w:val="0B0B0B"/>
                <w:sz w:val="18"/>
              </w:rPr>
              <w:t xml:space="preserve">Gives</w:t>
            </w:r>
          </w:p>
        </w:tc>
        <w:tc>
          <w:tcPr>
            <w:tcW w:w="1497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8"/>
              </w:rPr>
              <w:t xml:space="preserve">Four stages and the hand-offs between them. These four stage names are used unchanged by every later step.</w:t>
            </w:r>
          </w:p>
        </w:tc>
      </w:tr>
    </w:tbl>
    <w:p>
      <w:pPr>
        <w:spacing w:before="0" w:after="120" w:line="252" w:lineRule="auto"/>
      </w:pPr>
    </w:p>
    <w:p>
      <w:pPr>
        <w:spacing w:before="0" w:after="80" w:line="252" w:lineRule="auto"/>
      </w:pPr>
      <w:r>
        <w:rPr>
          <w:rFonts w:ascii="Aptos" w:hAnsi="Aptos"/>
          <w:b/>
          <w:color w:val="0B0B0B"/>
          <w:sz w:val="22"/>
        </w:rPr>
        <w:t xml:space="preserve">Current state — application to permit</w:t>
      </w:r>
    </w:p>
    <w:tbl>
      <w:tblPr>
        <w:tblW w:w="0" w:type="auto"/>
        <w:tblBorders>
          <w:top w:val="single" w:sz="6" w:space="0" w:color="D9D8D0"/>
          <w:left w:val="single" w:sz="6" w:space="0" w:color="D9D8D0"/>
          <w:bottom w:val="single" w:sz="6" w:space="0" w:color="D9D8D0"/>
          <w:right w:val="single" w:sz="6" w:space="0" w:color="D9D8D0"/>
          <w:insideH w:val="single" w:sz="6" w:space="0" w:color="D9D8D0"/>
          <w:insideV w:val="single" w:sz="6" w:space="0" w:color="D9D8D0"/>
        </w:tblBorders>
        <w:tblLayout w:type="fixed"/>
      </w:tblPr>
      <w:tblGrid>
        <w:gridCol w:w="1814"/>
        <w:gridCol w:w="2246"/>
        <w:gridCol w:w="4248"/>
        <w:gridCol w:w="2131"/>
        <w:gridCol w:w="4248"/>
        <w:gridCol w:w="1714"/>
      </w:tblGrid>
      <w:tr>
        <w:trPr>
          <w:tblHeader/>
        </w:trPr>
        <w:tc>
          <w:tcPr>
            <w:tcW w:w="1814"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Lane</w:t>
            </w:r>
          </w:p>
        </w:tc>
        <w:tc>
          <w:tcPr>
            <w:tcW w:w="2246"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Step 1</w:t>
            </w:r>
          </w:p>
        </w:tc>
        <w:tc>
          <w:tcPr>
            <w:tcW w:w="4248"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Step 2</w:t>
            </w:r>
          </w:p>
        </w:tc>
        <w:tc>
          <w:tcPr>
            <w:tcW w:w="2131"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Step 3</w:t>
            </w:r>
          </w:p>
        </w:tc>
        <w:tc>
          <w:tcPr>
            <w:tcW w:w="4248"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Step 4</w:t>
            </w:r>
          </w:p>
        </w:tc>
        <w:tc>
          <w:tcPr>
            <w:tcW w:w="1714"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Step 5</w:t>
            </w:r>
          </w:p>
        </w:tc>
      </w:tr>
      <w:tr>
        <w:tc>
          <w:tcPr>
            <w:tcW w:w="1814"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Operator</w:t>
            </w:r>
          </w:p>
        </w:tc>
        <w:tc>
          <w:tcPr>
            <w:tcW w:w="224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Lodge application</w:t>
            </w:r>
          </w:p>
        </w:tc>
        <w:tc>
          <w:tcPr>
            <w:tcW w:w="4248" w:type="dxa"/>
            <w:shd w:val="clear" w:fill="FFFFFF"/>
            <w:tcMar>
              <w:top w:w="72" w:type="dxa"/>
              <w:left w:w="108" w:type="dxa"/>
              <w:bottom w:w="72" w:type="dxa"/>
              <w:right w:w="108" w:type="dxa"/>
            </w:tcMar>
            <w:vAlign w:val="top"/>
          </w:tcPr>
          <w:p>
            <w:pPr>
              <w:spacing w:before="0" w:after="0" w:line="252" w:lineRule="auto"/>
            </w:pPr>
          </w:p>
        </w:tc>
        <w:tc>
          <w:tcPr>
            <w:tcW w:w="2131" w:type="dxa"/>
            <w:shd w:val="clear" w:fill="FFFFFF"/>
            <w:tcMar>
              <w:top w:w="72" w:type="dxa"/>
              <w:left w:w="108" w:type="dxa"/>
              <w:bottom w:w="72" w:type="dxa"/>
              <w:right w:w="108" w:type="dxa"/>
            </w:tcMar>
            <w:vAlign w:val="top"/>
          </w:tcPr>
          <w:p>
            <w:pPr>
              <w:spacing w:before="0" w:after="0" w:line="252" w:lineRule="auto"/>
            </w:pPr>
          </w:p>
        </w:tc>
        <w:tc>
          <w:tcPr>
            <w:tcW w:w="4248" w:type="dxa"/>
            <w:shd w:val="clear" w:fill="FFFFFF"/>
            <w:tcMar>
              <w:top w:w="72" w:type="dxa"/>
              <w:left w:w="108" w:type="dxa"/>
              <w:bottom w:w="72" w:type="dxa"/>
              <w:right w:w="108" w:type="dxa"/>
            </w:tcMar>
            <w:vAlign w:val="top"/>
          </w:tcPr>
          <w:p>
            <w:pPr>
              <w:spacing w:before="0" w:after="0" w:line="252" w:lineRule="auto"/>
            </w:pPr>
          </w:p>
        </w:tc>
        <w:tc>
          <w:tcPr>
            <w:tcW w:w="1714" w:type="dxa"/>
            <w:shd w:val="clear" w:fill="FFFFFF"/>
            <w:tcMar>
              <w:top w:w="72" w:type="dxa"/>
              <w:left w:w="108" w:type="dxa"/>
              <w:bottom w:w="72" w:type="dxa"/>
              <w:right w:w="108" w:type="dxa"/>
            </w:tcMar>
            <w:vAlign w:val="top"/>
          </w:tcPr>
          <w:p>
            <w:pPr>
              <w:spacing w:before="0" w:after="0" w:line="252" w:lineRule="auto"/>
            </w:pPr>
          </w:p>
        </w:tc>
      </w:tr>
      <w:tr>
        <w:tc>
          <w:tcPr>
            <w:tcW w:w="1814"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Assessor</w:t>
            </w:r>
          </w:p>
        </w:tc>
        <w:tc>
          <w:tcPr>
            <w:tcW w:w="2246" w:type="dxa"/>
            <w:shd w:val="clear" w:fill="F7F7F5"/>
            <w:tcMar>
              <w:top w:w="72" w:type="dxa"/>
              <w:left w:w="108" w:type="dxa"/>
              <w:bottom w:w="72" w:type="dxa"/>
              <w:right w:w="108" w:type="dxa"/>
            </w:tcMar>
            <w:vAlign w:val="top"/>
          </w:tcPr>
          <w:p>
            <w:pPr>
              <w:spacing w:before="0" w:after="0" w:line="252" w:lineRule="auto"/>
            </w:pPr>
          </w:p>
        </w:tc>
        <w:tc>
          <w:tcPr>
            <w:tcW w:w="4248"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Lodgement check</w:t>
            </w:r>
          </w:p>
        </w:tc>
        <w:tc>
          <w:tcPr>
            <w:tcW w:w="2131"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Route assessment</w:t>
            </w:r>
          </w:p>
        </w:tc>
        <w:tc>
          <w:tcPr>
            <w:tcW w:w="4248" w:type="dxa"/>
            <w:shd w:val="clear" w:fill="F7F7F5"/>
            <w:tcMar>
              <w:top w:w="72" w:type="dxa"/>
              <w:left w:w="108" w:type="dxa"/>
              <w:bottom w:w="72" w:type="dxa"/>
              <w:right w:w="108" w:type="dxa"/>
            </w:tcMar>
            <w:vAlign w:val="top"/>
          </w:tcPr>
          <w:p>
            <w:pPr>
              <w:spacing w:before="0" w:after="0" w:line="252" w:lineRule="auto"/>
            </w:pPr>
          </w:p>
        </w:tc>
        <w:tc>
          <w:tcPr>
            <w:tcW w:w="1714" w:type="dxa"/>
            <w:shd w:val="clear" w:fill="F7F7F5"/>
            <w:tcMar>
              <w:top w:w="72" w:type="dxa"/>
              <w:left w:w="108" w:type="dxa"/>
              <w:bottom w:w="72" w:type="dxa"/>
              <w:right w:w="108" w:type="dxa"/>
            </w:tcMar>
            <w:vAlign w:val="top"/>
          </w:tcPr>
          <w:p>
            <w:pPr>
              <w:spacing w:before="0" w:after="0" w:line="252" w:lineRule="auto"/>
            </w:pPr>
          </w:p>
        </w:tc>
      </w:tr>
      <w:tr>
        <w:tc>
          <w:tcPr>
            <w:tcW w:w="1814"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Road managers</w:t>
            </w:r>
          </w:p>
        </w:tc>
        <w:tc>
          <w:tcPr>
            <w:tcW w:w="2246" w:type="dxa"/>
            <w:shd w:val="clear" w:fill="FFFFFF"/>
            <w:tcMar>
              <w:top w:w="72" w:type="dxa"/>
              <w:left w:w="108" w:type="dxa"/>
              <w:bottom w:w="72" w:type="dxa"/>
              <w:right w:w="108" w:type="dxa"/>
            </w:tcMar>
            <w:vAlign w:val="top"/>
          </w:tcPr>
          <w:p>
            <w:pPr>
              <w:spacing w:before="0" w:after="0" w:line="252" w:lineRule="auto"/>
            </w:pPr>
          </w:p>
        </w:tc>
        <w:tc>
          <w:tcPr>
            <w:tcW w:w="4248" w:type="dxa"/>
            <w:shd w:val="clear" w:fill="FFFFFF"/>
            <w:tcMar>
              <w:top w:w="72" w:type="dxa"/>
              <w:left w:w="108" w:type="dxa"/>
              <w:bottom w:w="72" w:type="dxa"/>
              <w:right w:w="108" w:type="dxa"/>
            </w:tcMar>
            <w:vAlign w:val="top"/>
          </w:tcPr>
          <w:p>
            <w:pPr>
              <w:spacing w:before="0" w:after="0" w:line="252" w:lineRule="auto"/>
            </w:pPr>
          </w:p>
        </w:tc>
        <w:tc>
          <w:tcPr>
            <w:tcW w:w="2131" w:type="dxa"/>
            <w:shd w:val="clear" w:fill="FFFFFF"/>
            <w:tcMar>
              <w:top w:w="72" w:type="dxa"/>
              <w:left w:w="108" w:type="dxa"/>
              <w:bottom w:w="72" w:type="dxa"/>
              <w:right w:w="108" w:type="dxa"/>
            </w:tcMar>
            <w:vAlign w:val="top"/>
          </w:tcPr>
          <w:p>
            <w:pPr>
              <w:spacing w:before="0" w:after="0" w:line="252" w:lineRule="auto"/>
            </w:pPr>
          </w:p>
        </w:tc>
        <w:tc>
          <w:tcPr>
            <w:tcW w:w="4248"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Road manager consent</w:t>
            </w:r>
          </w:p>
        </w:tc>
        <w:tc>
          <w:tcPr>
            <w:tcW w:w="1714" w:type="dxa"/>
            <w:shd w:val="clear" w:fill="FFFFFF"/>
            <w:tcMar>
              <w:top w:w="72" w:type="dxa"/>
              <w:left w:w="108" w:type="dxa"/>
              <w:bottom w:w="72" w:type="dxa"/>
              <w:right w:w="108" w:type="dxa"/>
            </w:tcMar>
            <w:vAlign w:val="top"/>
          </w:tcPr>
          <w:p>
            <w:pPr>
              <w:spacing w:before="0" w:after="0" w:line="252" w:lineRule="auto"/>
            </w:pPr>
          </w:p>
        </w:tc>
      </w:tr>
      <w:tr>
        <w:tc>
          <w:tcPr>
            <w:tcW w:w="1814"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Registry</w:t>
            </w:r>
          </w:p>
        </w:tc>
        <w:tc>
          <w:tcPr>
            <w:tcW w:w="2246" w:type="dxa"/>
            <w:shd w:val="clear" w:fill="F7F7F5"/>
            <w:tcMar>
              <w:top w:w="72" w:type="dxa"/>
              <w:left w:w="108" w:type="dxa"/>
              <w:bottom w:w="72" w:type="dxa"/>
              <w:right w:w="108" w:type="dxa"/>
            </w:tcMar>
            <w:vAlign w:val="top"/>
          </w:tcPr>
          <w:p>
            <w:pPr>
              <w:spacing w:before="0" w:after="0" w:line="252" w:lineRule="auto"/>
            </w:pPr>
          </w:p>
        </w:tc>
        <w:tc>
          <w:tcPr>
            <w:tcW w:w="4248" w:type="dxa"/>
            <w:shd w:val="clear" w:fill="F7F7F5"/>
            <w:tcMar>
              <w:top w:w="72" w:type="dxa"/>
              <w:left w:w="108" w:type="dxa"/>
              <w:bottom w:w="72" w:type="dxa"/>
              <w:right w:w="108" w:type="dxa"/>
            </w:tcMar>
            <w:vAlign w:val="top"/>
          </w:tcPr>
          <w:p>
            <w:pPr>
              <w:spacing w:before="0" w:after="0" w:line="252" w:lineRule="auto"/>
            </w:pPr>
          </w:p>
        </w:tc>
        <w:tc>
          <w:tcPr>
            <w:tcW w:w="2131" w:type="dxa"/>
            <w:shd w:val="clear" w:fill="F7F7F5"/>
            <w:tcMar>
              <w:top w:w="72" w:type="dxa"/>
              <w:left w:w="108" w:type="dxa"/>
              <w:bottom w:w="72" w:type="dxa"/>
              <w:right w:w="108" w:type="dxa"/>
            </w:tcMar>
            <w:vAlign w:val="top"/>
          </w:tcPr>
          <w:p>
            <w:pPr>
              <w:spacing w:before="0" w:after="0" w:line="252" w:lineRule="auto"/>
            </w:pPr>
          </w:p>
        </w:tc>
        <w:tc>
          <w:tcPr>
            <w:tcW w:w="4248" w:type="dxa"/>
            <w:shd w:val="clear" w:fill="F7F7F5"/>
            <w:tcMar>
              <w:top w:w="72" w:type="dxa"/>
              <w:left w:w="108" w:type="dxa"/>
              <w:bottom w:w="72" w:type="dxa"/>
              <w:right w:w="108" w:type="dxa"/>
            </w:tcMar>
            <w:vAlign w:val="top"/>
          </w:tcPr>
          <w:p>
            <w:pPr>
              <w:spacing w:before="0" w:after="0" w:line="252" w:lineRule="auto"/>
            </w:pPr>
          </w:p>
        </w:tc>
        <w:tc>
          <w:tcPr>
            <w:tcW w:w="1714"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Permit issue</w:t>
            </w:r>
          </w:p>
        </w:tc>
      </w:tr>
      <w:tr>
        <w:tc>
          <w:tcPr>
            <w:tcW w:w="1814"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exception</w:t>
            </w:r>
          </w:p>
        </w:tc>
        <w:tc>
          <w:tcPr>
            <w:tcW w:w="2246" w:type="dxa"/>
            <w:shd w:val="clear" w:fill="FFFFFF"/>
            <w:tcMar>
              <w:top w:w="72" w:type="dxa"/>
              <w:left w:w="108" w:type="dxa"/>
              <w:bottom w:w="72" w:type="dxa"/>
              <w:right w:w="108" w:type="dxa"/>
            </w:tcMar>
            <w:vAlign w:val="top"/>
          </w:tcPr>
          <w:p>
            <w:pPr>
              <w:spacing w:before="0" w:after="0" w:line="252" w:lineRule="auto"/>
            </w:pPr>
          </w:p>
        </w:tc>
        <w:tc>
          <w:tcPr>
            <w:tcW w:w="4248" w:type="dxa"/>
            <w:shd w:val="clear" w:fill="FFFFFF"/>
            <w:tcMar>
              <w:top w:w="72" w:type="dxa"/>
              <w:left w:w="108" w:type="dxa"/>
              <w:bottom w:w="72" w:type="dxa"/>
              <w:right w:w="108" w:type="dxa"/>
            </w:tcMar>
            <w:vAlign w:val="top"/>
          </w:tcPr>
          <w:p>
            <w:pPr>
              <w:spacing w:before="0" w:after="0" w:line="252" w:lineRule="auto"/>
            </w:pPr>
          </w:p>
        </w:tc>
        <w:tc>
          <w:tcPr>
            <w:tcW w:w="2131" w:type="dxa"/>
            <w:shd w:val="clear" w:fill="FFFFFF"/>
            <w:tcMar>
              <w:top w:w="72" w:type="dxa"/>
              <w:left w:w="108" w:type="dxa"/>
              <w:bottom w:w="72" w:type="dxa"/>
              <w:right w:w="108" w:type="dxa"/>
            </w:tcMar>
            <w:vAlign w:val="top"/>
          </w:tcPr>
          <w:p>
            <w:pPr>
              <w:spacing w:before="0" w:after="0" w:line="252" w:lineRule="auto"/>
            </w:pPr>
          </w:p>
        </w:tc>
        <w:tc>
          <w:tcPr>
            <w:tcW w:w="4248"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objection — reassess, and the clock restarts → step 3</w:t>
            </w:r>
          </w:p>
        </w:tc>
        <w:tc>
          <w:tcPr>
            <w:tcW w:w="1714" w:type="dxa"/>
            <w:shd w:val="clear" w:fill="FFFFFF"/>
            <w:tcMar>
              <w:top w:w="72" w:type="dxa"/>
              <w:left w:w="108" w:type="dxa"/>
              <w:bottom w:w="72" w:type="dxa"/>
              <w:right w:w="108" w:type="dxa"/>
            </w:tcMar>
            <w:vAlign w:val="top"/>
          </w:tcPr>
          <w:p>
            <w:pPr>
              <w:spacing w:before="0" w:after="0" w:line="252" w:lineRule="auto"/>
            </w:pPr>
          </w:p>
        </w:tc>
      </w:tr>
      <w:tr>
        <w:tc>
          <w:tcPr>
            <w:tcW w:w="1814"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exception</w:t>
            </w:r>
          </w:p>
        </w:tc>
        <w:tc>
          <w:tcPr>
            <w:tcW w:w="2246" w:type="dxa"/>
            <w:shd w:val="clear" w:fill="F7F7F5"/>
            <w:tcMar>
              <w:top w:w="72" w:type="dxa"/>
              <w:left w:w="108" w:type="dxa"/>
              <w:bottom w:w="72" w:type="dxa"/>
              <w:right w:w="108" w:type="dxa"/>
            </w:tcMar>
            <w:vAlign w:val="top"/>
          </w:tcPr>
          <w:p>
            <w:pPr>
              <w:spacing w:before="0" w:after="0" w:line="252" w:lineRule="auto"/>
            </w:pPr>
          </w:p>
        </w:tc>
        <w:tc>
          <w:tcPr>
            <w:tcW w:w="4248"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incomplete — returned to operator → step 1</w:t>
            </w:r>
          </w:p>
        </w:tc>
        <w:tc>
          <w:tcPr>
            <w:tcW w:w="2131" w:type="dxa"/>
            <w:shd w:val="clear" w:fill="F7F7F5"/>
            <w:tcMar>
              <w:top w:w="72" w:type="dxa"/>
              <w:left w:w="108" w:type="dxa"/>
              <w:bottom w:w="72" w:type="dxa"/>
              <w:right w:w="108" w:type="dxa"/>
            </w:tcMar>
            <w:vAlign w:val="top"/>
          </w:tcPr>
          <w:p>
            <w:pPr>
              <w:spacing w:before="0" w:after="0" w:line="252" w:lineRule="auto"/>
            </w:pPr>
          </w:p>
        </w:tc>
        <w:tc>
          <w:tcPr>
            <w:tcW w:w="4248" w:type="dxa"/>
            <w:shd w:val="clear" w:fill="F7F7F5"/>
            <w:tcMar>
              <w:top w:w="72" w:type="dxa"/>
              <w:left w:w="108" w:type="dxa"/>
              <w:bottom w:w="72" w:type="dxa"/>
              <w:right w:w="108" w:type="dxa"/>
            </w:tcMar>
            <w:vAlign w:val="top"/>
          </w:tcPr>
          <w:p>
            <w:pPr>
              <w:spacing w:before="0" w:after="0" w:line="252" w:lineRule="auto"/>
            </w:pPr>
          </w:p>
        </w:tc>
        <w:tc>
          <w:tcPr>
            <w:tcW w:w="1714" w:type="dxa"/>
            <w:shd w:val="clear" w:fill="F7F7F5"/>
            <w:tcMar>
              <w:top w:w="72" w:type="dxa"/>
              <w:left w:w="108" w:type="dxa"/>
              <w:bottom w:w="72" w:type="dxa"/>
              <w:right w:w="108" w:type="dxa"/>
            </w:tcMar>
            <w:vAlign w:val="top"/>
          </w:tcPr>
          <w:p>
            <w:pPr>
              <w:spacing w:before="0" w:after="0" w:line="252" w:lineRule="auto"/>
            </w:pPr>
          </w:p>
        </w:tc>
      </w:tr>
    </w:tbl>
    <w:p>
      <w:pPr>
        <w:spacing w:before="0" w:after="120" w:line="252" w:lineRule="auto"/>
      </w:pPr>
    </w:p>
    <w:p>
      <w:pPr>
        <w:spacing w:before="0" w:after="80" w:line="252" w:lineRule="auto"/>
      </w:pPr>
      <w:r>
        <w:rPr>
          <w:rFonts w:ascii="Aptos" w:hAnsi="Aptos"/>
          <w:i/>
          <w:color w:val="6B6A66"/>
          <w:sz w:val="18"/>
        </w:rPr>
        <w:t xml:space="preserve">Consent sits in a lane Fairgate does not own. Every objection returns the file to assessment and restarts the elapsed clock.</w:t>
      </w:r>
    </w:p>
    <w:p>
      <w:pPr>
        <w:spacing w:before="0" w:after="120" w:line="252" w:lineRule="auto"/>
      </w:pPr>
      <w:r>
        <w:rPr>
          <w:rFonts w:ascii="Aptos" w:hAnsi="Aptos"/>
          <w:color w:val="6B6A66"/>
          <w:sz w:val="18"/>
        </w:rPr>
        <w:t xml:space="preserve">Why this and not its neighbour: Process modelling shows the flow of work; use cases show an actor achieving a goal with the solution; data flow diagrams follow information. Hand-offs between people point to process.</w:t>
      </w:r>
    </w:p>
    <w:p>
      <w:pPr>
        <w:pBdr>
          <w:bottom w:val="single" w:sz="6" w:color="D9D8D0"/>
        </w:pBdr>
        <w:spacing w:before="280" w:after="40" w:line="252" w:lineRule="auto"/>
      </w:pPr>
      <w:r>
        <w:rPr>
          <w:rFonts w:ascii="Aptos" w:hAnsi="Aptos"/>
          <w:b/>
          <w:color w:val="0B0B0B"/>
          <w:sz w:val="28"/>
        </w:rPr>
        <w:t xml:space="preserve">STEP 5  ·  10.34 Process Analysis</w:t>
      </w:r>
    </w:p>
    <w:p>
      <w:pPr>
        <w:spacing w:before="0" w:after="120" w:line="252" w:lineRule="auto"/>
      </w:pPr>
      <w:r>
        <w:rPr>
          <w:rFonts w:ascii="Aptos" w:hAnsi="Aptos"/>
          <w:i/>
          <w:color w:val="184F95"/>
          <w:sz w:val="22"/>
        </w:rPr>
        <w:t xml:space="preserve">Where do the 40 days actually go?</w:t>
      </w:r>
    </w:p>
    <w:tbl>
      <w:tblPr>
        <w:tblW w:w="0" w:type="auto"/>
        <w:tblBorders>
          <w:top w:val="single" w:sz="6" w:space="0" w:color="D9D8D0"/>
          <w:left w:val="single" w:sz="6" w:space="0" w:color="D9D8D0"/>
          <w:bottom w:val="single" w:sz="6" w:space="0" w:color="D9D8D0"/>
          <w:right w:val="single" w:sz="6" w:space="0" w:color="D9D8D0"/>
          <w:insideH w:val="single" w:sz="6" w:space="0" w:color="D9D8D0"/>
          <w:insideV w:val="single" w:sz="6" w:space="0" w:color="D9D8D0"/>
        </w:tblBorders>
        <w:tblLayout w:type="fixed"/>
      </w:tblPr>
      <w:tblGrid>
        <w:gridCol w:w="1440"/>
        <w:gridCol w:w="14976"/>
      </w:tblGrid>
      <w:tr>
        <w:tc>
          <w:tcPr>
            <w:tcW w:w="1440" w:type="dxa"/>
            <w:shd w:val="clear" w:fill="F7F7F5"/>
            <w:tcMar>
              <w:top w:w="72" w:type="dxa"/>
              <w:left w:w="108" w:type="dxa"/>
              <w:bottom w:w="72" w:type="dxa"/>
              <w:right w:w="108" w:type="dxa"/>
            </w:tcMar>
            <w:vAlign w:val="top"/>
          </w:tcPr>
          <w:p>
            <w:pPr>
              <w:spacing w:before="0" w:after="0" w:line="252" w:lineRule="auto"/>
            </w:pPr>
            <w:r>
              <w:rPr>
                <w:rFonts w:ascii="Aptos" w:hAnsi="Aptos"/>
                <w:b/>
                <w:color w:val="0B0B0B"/>
                <w:sz w:val="18"/>
              </w:rPr>
              <w:t xml:space="preserve">Takes</w:t>
            </w:r>
          </w:p>
        </w:tc>
        <w:tc>
          <w:tcPr>
            <w:tcW w:w="1497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8"/>
              </w:rPr>
              <w:t xml:space="preserve">The four stages from the process model, by the same names.</w:t>
            </w:r>
          </w:p>
        </w:tc>
      </w:tr>
      <w:tr>
        <w:tc>
          <w:tcPr>
            <w:tcW w:w="1440" w:type="dxa"/>
            <w:shd w:val="clear" w:fill="FFFFFF"/>
            <w:tcMar>
              <w:top w:w="72" w:type="dxa"/>
              <w:left w:w="108" w:type="dxa"/>
              <w:bottom w:w="72" w:type="dxa"/>
              <w:right w:w="108" w:type="dxa"/>
            </w:tcMar>
            <w:vAlign w:val="top"/>
          </w:tcPr>
          <w:p>
            <w:pPr>
              <w:spacing w:before="0" w:after="0" w:line="252" w:lineRule="auto"/>
            </w:pPr>
            <w:r>
              <w:rPr>
                <w:rFonts w:ascii="Aptos" w:hAnsi="Aptos"/>
                <w:b/>
                <w:color w:val="0B0B0B"/>
                <w:sz w:val="18"/>
              </w:rPr>
              <w:t xml:space="preserve">Gives</w:t>
            </w:r>
          </w:p>
        </w:tc>
        <w:tc>
          <w:tcPr>
            <w:tcW w:w="1497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8"/>
              </w:rPr>
              <w:t xml:space="preserve">Elapsed against touch time, and a cost to serve of $41 a permit. Both are consumed by the business case.</w:t>
            </w:r>
          </w:p>
        </w:tc>
      </w:tr>
    </w:tbl>
    <w:p>
      <w:pPr>
        <w:spacing w:before="0" w:after="120" w:line="252" w:lineRule="auto"/>
      </w:pPr>
    </w:p>
    <w:p>
      <w:pPr>
        <w:spacing w:before="0" w:after="80" w:line="252" w:lineRule="auto"/>
      </w:pPr>
      <w:r>
        <w:rPr>
          <w:rFonts w:ascii="Aptos" w:hAnsi="Aptos"/>
          <w:b/>
          <w:color w:val="0B0B0B"/>
          <w:sz w:val="22"/>
        </w:rPr>
        <w:t xml:space="preserve">40 days elapsed, 3.2 hours of work</w:t>
      </w:r>
    </w:p>
    <w:tbl>
      <w:tblPr>
        <w:tblW w:w="0" w:type="auto"/>
        <w:tblBorders>
          <w:top w:val="single" w:sz="6" w:space="0" w:color="D9D8D0"/>
          <w:left w:val="single" w:sz="6" w:space="0" w:color="D9D8D0"/>
          <w:bottom w:val="single" w:sz="6" w:space="0" w:color="D9D8D0"/>
          <w:right w:val="single" w:sz="6" w:space="0" w:color="D9D8D0"/>
          <w:insideH w:val="single" w:sz="6" w:space="0" w:color="D9D8D0"/>
          <w:insideV w:val="single" w:sz="6" w:space="0" w:color="D9D8D0"/>
        </w:tblBorders>
        <w:tblLayout w:type="fixed"/>
      </w:tblPr>
      <w:tblGrid>
        <w:gridCol w:w="2952"/>
        <w:gridCol w:w="1368"/>
        <w:gridCol w:w="1728"/>
        <w:gridCol w:w="4896"/>
      </w:tblGrid>
      <w:tr>
        <w:trPr>
          <w:tblHeader/>
        </w:trPr>
        <w:tc>
          <w:tcPr>
            <w:tcW w:w="2952"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Stage</w:t>
            </w:r>
          </w:p>
        </w:tc>
        <w:tc>
          <w:tcPr>
            <w:tcW w:w="1368"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Elapsed</w:t>
            </w:r>
          </w:p>
        </w:tc>
        <w:tc>
          <w:tcPr>
            <w:tcW w:w="1728"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Touch time</w:t>
            </w:r>
          </w:p>
        </w:tc>
        <w:tc>
          <w:tcPr>
            <w:tcW w:w="4896"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Verdict</w:t>
            </w:r>
          </w:p>
        </w:tc>
      </w:tr>
      <w:tr>
        <w:tc>
          <w:tcPr>
            <w:tcW w:w="2952"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Lodgement check</w:t>
            </w:r>
          </w:p>
        </w:tc>
        <w:tc>
          <w:tcPr>
            <w:tcW w:w="1368"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4 days</w:t>
            </w:r>
          </w:p>
        </w:tc>
        <w:tc>
          <w:tcPr>
            <w:tcW w:w="1728"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0.3 h</w:t>
            </w:r>
          </w:p>
        </w:tc>
        <w:tc>
          <w:tcPr>
            <w:tcW w:w="48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Queue</w:t>
            </w:r>
          </w:p>
        </w:tc>
      </w:tr>
      <w:tr>
        <w:tc>
          <w:tcPr>
            <w:tcW w:w="2952"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Route assessment</w:t>
            </w:r>
          </w:p>
        </w:tc>
        <w:tc>
          <w:tcPr>
            <w:tcW w:w="1368"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19 days</w:t>
            </w:r>
          </w:p>
        </w:tc>
        <w:tc>
          <w:tcPr>
            <w:tcW w:w="1728"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2.1 h</w:t>
            </w:r>
          </w:p>
        </w:tc>
        <w:tc>
          <w:tcPr>
            <w:tcW w:w="48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Queue, plus rework from objections</w:t>
            </w:r>
          </w:p>
        </w:tc>
      </w:tr>
      <w:tr>
        <w:tc>
          <w:tcPr>
            <w:tcW w:w="2952"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Road manager consent</w:t>
            </w:r>
          </w:p>
        </w:tc>
        <w:tc>
          <w:tcPr>
            <w:tcW w:w="1368"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14 days</w:t>
            </w:r>
          </w:p>
        </w:tc>
        <w:tc>
          <w:tcPr>
            <w:tcW w:w="1728"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0.4 h</w:t>
            </w:r>
          </w:p>
        </w:tc>
        <w:tc>
          <w:tcPr>
            <w:tcW w:w="48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Outside Fairgate, 11 councils in series</w:t>
            </w:r>
          </w:p>
        </w:tc>
      </w:tr>
      <w:tr>
        <w:tc>
          <w:tcPr>
            <w:tcW w:w="2952"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Permit issue</w:t>
            </w:r>
          </w:p>
        </w:tc>
        <w:tc>
          <w:tcPr>
            <w:tcW w:w="1368"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3 days</w:t>
            </w:r>
          </w:p>
        </w:tc>
        <w:tc>
          <w:tcPr>
            <w:tcW w:w="1728"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0.4 h</w:t>
            </w:r>
          </w:p>
        </w:tc>
        <w:tc>
          <w:tcPr>
            <w:tcW w:w="48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Queue</w:t>
            </w:r>
          </w:p>
        </w:tc>
      </w:tr>
      <w:tr>
        <w:tc>
          <w:tcPr>
            <w:tcW w:w="2952" w:type="dxa"/>
            <w:shd w:val="clear" w:fill="E9F1FD"/>
            <w:tcMar>
              <w:top w:w="72" w:type="dxa"/>
              <w:left w:w="108" w:type="dxa"/>
              <w:bottom w:w="72" w:type="dxa"/>
              <w:right w:w="108" w:type="dxa"/>
            </w:tcMar>
            <w:vAlign w:val="top"/>
          </w:tcPr>
          <w:p>
            <w:pPr>
              <w:spacing w:before="0" w:after="0" w:line="252" w:lineRule="auto"/>
            </w:pPr>
            <w:r>
              <w:rPr>
                <w:rFonts w:ascii="Aptos" w:hAnsi="Aptos"/>
                <w:b/>
                <w:color w:val="0B0B0B"/>
                <w:sz w:val="17"/>
              </w:rPr>
              <w:t xml:space="preserve">Total</w:t>
            </w:r>
          </w:p>
        </w:tc>
        <w:tc>
          <w:tcPr>
            <w:tcW w:w="1368" w:type="dxa"/>
            <w:shd w:val="clear" w:fill="E9F1FD"/>
            <w:tcMar>
              <w:top w:w="72" w:type="dxa"/>
              <w:left w:w="108" w:type="dxa"/>
              <w:bottom w:w="72" w:type="dxa"/>
              <w:right w:w="108" w:type="dxa"/>
            </w:tcMar>
            <w:vAlign w:val="top"/>
          </w:tcPr>
          <w:p>
            <w:pPr>
              <w:spacing w:before="0" w:after="0" w:line="252" w:lineRule="auto"/>
            </w:pPr>
            <w:r>
              <w:rPr>
                <w:rFonts w:ascii="Aptos" w:hAnsi="Aptos"/>
                <w:b/>
                <w:color w:val="0B0B0B"/>
                <w:sz w:val="17"/>
              </w:rPr>
              <w:t xml:space="preserve">40 days</w:t>
            </w:r>
          </w:p>
        </w:tc>
        <w:tc>
          <w:tcPr>
            <w:tcW w:w="1728" w:type="dxa"/>
            <w:shd w:val="clear" w:fill="E9F1FD"/>
            <w:tcMar>
              <w:top w:w="72" w:type="dxa"/>
              <w:left w:w="108" w:type="dxa"/>
              <w:bottom w:w="72" w:type="dxa"/>
              <w:right w:w="108" w:type="dxa"/>
            </w:tcMar>
            <w:vAlign w:val="top"/>
          </w:tcPr>
          <w:p>
            <w:pPr>
              <w:spacing w:before="0" w:after="0" w:line="252" w:lineRule="auto"/>
            </w:pPr>
            <w:r>
              <w:rPr>
                <w:rFonts w:ascii="Aptos" w:hAnsi="Aptos"/>
                <w:b/>
                <w:color w:val="0B0B0B"/>
                <w:sz w:val="17"/>
              </w:rPr>
              <w:t xml:space="preserve">3.2 h</w:t>
            </w:r>
          </w:p>
        </w:tc>
        <w:tc>
          <w:tcPr>
            <w:tcW w:w="4896" w:type="dxa"/>
            <w:shd w:val="clear" w:fill="E9F1FD"/>
            <w:tcMar>
              <w:top w:w="72" w:type="dxa"/>
              <w:left w:w="108" w:type="dxa"/>
              <w:bottom w:w="72" w:type="dxa"/>
              <w:right w:w="108" w:type="dxa"/>
            </w:tcMar>
            <w:vAlign w:val="top"/>
          </w:tcPr>
          <w:p>
            <w:pPr>
              <w:spacing w:before="0" w:after="0" w:line="252" w:lineRule="auto"/>
            </w:pPr>
            <w:r>
              <w:rPr>
                <w:rFonts w:ascii="Aptos" w:hAnsi="Aptos"/>
                <w:b/>
                <w:color w:val="0B0B0B"/>
                <w:sz w:val="17"/>
              </w:rPr>
              <w:t xml:space="preserve">Touch time is 1.1% of elapsed</w:t>
            </w:r>
          </w:p>
        </w:tc>
      </w:tr>
    </w:tbl>
    <w:p>
      <w:pPr>
        <w:spacing w:before="0" w:after="120" w:line="252" w:lineRule="auto"/>
      </w:pPr>
    </w:p>
    <w:p>
      <w:pPr>
        <w:spacing w:before="0" w:after="80" w:line="252" w:lineRule="auto"/>
      </w:pPr>
      <w:r>
        <w:rPr>
          <w:rFonts w:ascii="Aptos" w:hAnsi="Aptos"/>
          <w:i/>
          <w:color w:val="6B6A66"/>
          <w:sz w:val="18"/>
        </w:rPr>
        <w:t xml:space="preserve">Cost to serve is $41 a permit across 12,000 permits, so $492,000 a year. Adding assessors buys touch time, which is 1.1% of the problem.</w:t>
      </w:r>
    </w:p>
    <w:p>
      <w:pPr>
        <w:spacing w:before="0" w:after="120" w:line="252" w:lineRule="auto"/>
      </w:pPr>
      <w:r>
        <w:rPr>
          <w:rFonts w:ascii="Aptos" w:hAnsi="Aptos"/>
          <w:color w:val="6B6A66"/>
          <w:sz w:val="18"/>
        </w:rPr>
        <w:t xml:space="preserve">Why this and not its neighbour: Process analysis evaluates a process; process modelling depicts it. If the scenario has no model yet, you cannot analyse it, which is why the ordering matters in exam items.</w:t>
      </w:r>
    </w:p>
    <w:p>
      <w:pPr>
        <w:pBdr>
          <w:bottom w:val="single" w:sz="6" w:color="D9D8D0"/>
        </w:pBdr>
        <w:spacing w:before="280" w:after="40" w:line="252" w:lineRule="auto"/>
      </w:pPr>
      <w:r>
        <w:rPr>
          <w:rFonts w:ascii="Aptos" w:hAnsi="Aptos"/>
          <w:b/>
          <w:color w:val="0B0B0B"/>
          <w:sz w:val="28"/>
        </w:rPr>
        <w:t xml:space="preserve">STEP 6  ·  10.40 Root Cause Analysis</w:t>
      </w:r>
    </w:p>
    <w:p>
      <w:pPr>
        <w:spacing w:before="0" w:after="120" w:line="252" w:lineRule="auto"/>
      </w:pPr>
      <w:r>
        <w:rPr>
          <w:rFonts w:ascii="Aptos" w:hAnsi="Aptos"/>
          <w:i/>
          <w:color w:val="184F95"/>
          <w:sz w:val="22"/>
        </w:rPr>
        <w:t xml:space="preserve">Why does route assessment take 19 days to do 2.1 hours of work?</w:t>
      </w:r>
    </w:p>
    <w:tbl>
      <w:tblPr>
        <w:tblW w:w="0" w:type="auto"/>
        <w:tblBorders>
          <w:top w:val="single" w:sz="6" w:space="0" w:color="D9D8D0"/>
          <w:left w:val="single" w:sz="6" w:space="0" w:color="D9D8D0"/>
          <w:bottom w:val="single" w:sz="6" w:space="0" w:color="D9D8D0"/>
          <w:right w:val="single" w:sz="6" w:space="0" w:color="D9D8D0"/>
          <w:insideH w:val="single" w:sz="6" w:space="0" w:color="D9D8D0"/>
          <w:insideV w:val="single" w:sz="6" w:space="0" w:color="D9D8D0"/>
        </w:tblBorders>
        <w:tblLayout w:type="fixed"/>
      </w:tblPr>
      <w:tblGrid>
        <w:gridCol w:w="1440"/>
        <w:gridCol w:w="14976"/>
      </w:tblGrid>
      <w:tr>
        <w:tc>
          <w:tcPr>
            <w:tcW w:w="1440" w:type="dxa"/>
            <w:shd w:val="clear" w:fill="F7F7F5"/>
            <w:tcMar>
              <w:top w:w="72" w:type="dxa"/>
              <w:left w:w="108" w:type="dxa"/>
              <w:bottom w:w="72" w:type="dxa"/>
              <w:right w:w="108" w:type="dxa"/>
            </w:tcMar>
            <w:vAlign w:val="top"/>
          </w:tcPr>
          <w:p>
            <w:pPr>
              <w:spacing w:before="0" w:after="0" w:line="252" w:lineRule="auto"/>
            </w:pPr>
            <w:r>
              <w:rPr>
                <w:rFonts w:ascii="Aptos" w:hAnsi="Aptos"/>
                <w:b/>
                <w:color w:val="0B0B0B"/>
                <w:sz w:val="18"/>
              </w:rPr>
              <w:t xml:space="preserve">Takes</w:t>
            </w:r>
          </w:p>
        </w:tc>
        <w:tc>
          <w:tcPr>
            <w:tcW w:w="1497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8"/>
              </w:rPr>
              <w:t xml:space="preserve">The worst row of the process analysis.</w:t>
            </w:r>
          </w:p>
        </w:tc>
      </w:tr>
      <w:tr>
        <w:tc>
          <w:tcPr>
            <w:tcW w:w="1440" w:type="dxa"/>
            <w:shd w:val="clear" w:fill="FFFFFF"/>
            <w:tcMar>
              <w:top w:w="72" w:type="dxa"/>
              <w:left w:w="108" w:type="dxa"/>
              <w:bottom w:w="72" w:type="dxa"/>
              <w:right w:w="108" w:type="dxa"/>
            </w:tcMar>
            <w:vAlign w:val="top"/>
          </w:tcPr>
          <w:p>
            <w:pPr>
              <w:spacing w:before="0" w:after="0" w:line="252" w:lineRule="auto"/>
            </w:pPr>
            <w:r>
              <w:rPr>
                <w:rFonts w:ascii="Aptos" w:hAnsi="Aptos"/>
                <w:b/>
                <w:color w:val="0B0B0B"/>
                <w:sz w:val="18"/>
              </w:rPr>
              <w:t xml:space="preserve">Gives</w:t>
            </w:r>
          </w:p>
        </w:tc>
        <w:tc>
          <w:tcPr>
            <w:tcW w:w="1497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8"/>
              </w:rPr>
              <w:t xml:space="preserve">A cause that is about data, not effort. That rules out the obvious option before it is costed.</w:t>
            </w:r>
          </w:p>
        </w:tc>
      </w:tr>
    </w:tbl>
    <w:p>
      <w:pPr>
        <w:spacing w:before="0" w:after="120" w:line="252" w:lineRule="auto"/>
      </w:pPr>
    </w:p>
    <w:p>
      <w:pPr>
        <w:spacing w:before="0" w:after="80" w:line="252" w:lineRule="auto"/>
      </w:pPr>
      <w:r>
        <w:rPr>
          <w:rFonts w:ascii="Aptos" w:hAnsi="Aptos"/>
          <w:b/>
          <w:color w:val="0B0B0B"/>
          <w:sz w:val="22"/>
        </w:rPr>
        <w:t xml:space="preserve">Why route assessment runs to 19 days</w:t>
      </w:r>
    </w:p>
    <w:tbl>
      <w:tblPr>
        <w:tblW w:w="0" w:type="auto"/>
        <w:tblBorders>
          <w:top w:val="single" w:sz="6" w:space="0" w:color="D9D8D0"/>
          <w:left w:val="single" w:sz="6" w:space="0" w:color="D9D8D0"/>
          <w:bottom w:val="single" w:sz="6" w:space="0" w:color="D9D8D0"/>
          <w:right w:val="single" w:sz="6" w:space="0" w:color="D9D8D0"/>
          <w:insideH w:val="single" w:sz="6" w:space="0" w:color="D9D8D0"/>
          <w:insideV w:val="single" w:sz="6" w:space="0" w:color="D9D8D0"/>
        </w:tblBorders>
        <w:tblLayout w:type="fixed"/>
      </w:tblPr>
      <w:tblGrid>
        <w:gridCol w:w="1728"/>
        <w:gridCol w:w="4896"/>
        <w:gridCol w:w="1296"/>
      </w:tblGrid>
      <w:tr>
        <w:trPr>
          <w:tblHeader/>
        </w:trPr>
        <w:tc>
          <w:tcPr>
            <w:tcW w:w="1728"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Level</w:t>
            </w:r>
          </w:p>
        </w:tc>
        <w:tc>
          <w:tcPr>
            <w:tcW w:w="4896"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Item</w:t>
            </w:r>
          </w:p>
        </w:tc>
        <w:tc>
          <w:tcPr>
            <w:tcW w:w="1296"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Note</w:t>
            </w:r>
          </w:p>
        </w:tc>
      </w:tr>
      <w:tr>
        <w:tc>
          <w:tcPr>
            <w:tcW w:w="1728"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Symptom</w:t>
            </w:r>
          </w:p>
        </w:tc>
        <w:tc>
          <w:tcPr>
            <w:tcW w:w="48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Route assessment takes 19 days for 2.1 hours of work</w:t>
            </w:r>
          </w:p>
        </w:tc>
        <w:tc>
          <w:tcPr>
            <w:tcW w:w="1296" w:type="dxa"/>
            <w:shd w:val="clear" w:fill="FFFFFF"/>
            <w:tcMar>
              <w:top w:w="72" w:type="dxa"/>
              <w:left w:w="108" w:type="dxa"/>
              <w:bottom w:w="72" w:type="dxa"/>
              <w:right w:w="108" w:type="dxa"/>
            </w:tcMar>
            <w:vAlign w:val="top"/>
          </w:tcPr>
          <w:p>
            <w:pPr>
              <w:spacing w:before="0" w:after="0" w:line="252" w:lineRule="auto"/>
            </w:pPr>
          </w:p>
        </w:tc>
      </w:tr>
      <w:tr>
        <w:tc>
          <w:tcPr>
            <w:tcW w:w="1728"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Why</w:t>
            </w:r>
          </w:p>
        </w:tc>
        <w:tc>
          <w:tcPr>
            <w:tcW w:w="48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    Why? Files wait to be reworked after objections</w:t>
            </w:r>
          </w:p>
        </w:tc>
        <w:tc>
          <w:tcPr>
            <w:tcW w:w="1296" w:type="dxa"/>
            <w:shd w:val="clear" w:fill="F7F7F5"/>
            <w:tcMar>
              <w:top w:w="72" w:type="dxa"/>
              <w:left w:w="108" w:type="dxa"/>
              <w:bottom w:w="72" w:type="dxa"/>
              <w:right w:w="108" w:type="dxa"/>
            </w:tcMar>
            <w:vAlign w:val="top"/>
          </w:tcPr>
          <w:p>
            <w:pPr>
              <w:spacing w:before="0" w:after="0" w:line="252" w:lineRule="auto"/>
            </w:pPr>
          </w:p>
        </w:tc>
      </w:tr>
      <w:tr>
        <w:tc>
          <w:tcPr>
            <w:tcW w:w="1728"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Why again</w:t>
            </w:r>
          </w:p>
        </w:tc>
        <w:tc>
          <w:tcPr>
            <w:tcW w:w="48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        Why? Road managers object to routes already assessed</w:t>
            </w:r>
          </w:p>
        </w:tc>
        <w:tc>
          <w:tcPr>
            <w:tcW w:w="1296" w:type="dxa"/>
            <w:shd w:val="clear" w:fill="FFFFFF"/>
            <w:tcMar>
              <w:top w:w="72" w:type="dxa"/>
              <w:left w:w="108" w:type="dxa"/>
              <w:bottom w:w="72" w:type="dxa"/>
              <w:right w:w="108" w:type="dxa"/>
            </w:tcMar>
            <w:vAlign w:val="top"/>
          </w:tcPr>
          <w:p>
            <w:pPr>
              <w:spacing w:before="0" w:after="0" w:line="252" w:lineRule="auto"/>
            </w:pPr>
          </w:p>
        </w:tc>
      </w:tr>
      <w:tr>
        <w:tc>
          <w:tcPr>
            <w:tcW w:w="1728"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Root cause</w:t>
            </w:r>
          </w:p>
        </w:tc>
        <w:tc>
          <w:tcPr>
            <w:tcW w:w="48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            Bridge and seasonal restriction data is not on the assessor's screen</w:t>
            </w:r>
          </w:p>
        </w:tc>
        <w:tc>
          <w:tcPr>
            <w:tcW w:w="1296" w:type="dxa"/>
            <w:shd w:val="clear" w:fill="F7F7F5"/>
            <w:tcMar>
              <w:top w:w="72" w:type="dxa"/>
              <w:left w:w="108" w:type="dxa"/>
              <w:bottom w:w="72" w:type="dxa"/>
              <w:right w:w="108" w:type="dxa"/>
            </w:tcMar>
            <w:vAlign w:val="top"/>
          </w:tcPr>
          <w:p>
            <w:pPr>
              <w:spacing w:before="0" w:after="0" w:line="252" w:lineRule="auto"/>
            </w:pPr>
          </w:p>
        </w:tc>
      </w:tr>
      <w:tr>
        <w:tc>
          <w:tcPr>
            <w:tcW w:w="1728"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Why</w:t>
            </w:r>
          </w:p>
        </w:tc>
        <w:tc>
          <w:tcPr>
            <w:tcW w:w="48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    Why? Assessors batch work to avoid switching systems</w:t>
            </w:r>
          </w:p>
        </w:tc>
        <w:tc>
          <w:tcPr>
            <w:tcW w:w="1296" w:type="dxa"/>
            <w:shd w:val="clear" w:fill="FFFFFF"/>
            <w:tcMar>
              <w:top w:w="72" w:type="dxa"/>
              <w:left w:w="108" w:type="dxa"/>
              <w:bottom w:w="72" w:type="dxa"/>
              <w:right w:w="108" w:type="dxa"/>
            </w:tcMar>
            <w:vAlign w:val="top"/>
          </w:tcPr>
          <w:p>
            <w:pPr>
              <w:spacing w:before="0" w:after="0" w:line="252" w:lineRule="auto"/>
            </w:pPr>
          </w:p>
        </w:tc>
      </w:tr>
      <w:tr>
        <w:tc>
          <w:tcPr>
            <w:tcW w:w="1728"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Why again</w:t>
            </w:r>
          </w:p>
        </w:tc>
        <w:tc>
          <w:tcPr>
            <w:tcW w:w="48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        Why? Restriction data lives in a second system</w:t>
            </w:r>
          </w:p>
        </w:tc>
        <w:tc>
          <w:tcPr>
            <w:tcW w:w="1296" w:type="dxa"/>
            <w:shd w:val="clear" w:fill="F7F7F5"/>
            <w:tcMar>
              <w:top w:w="72" w:type="dxa"/>
              <w:left w:w="108" w:type="dxa"/>
              <w:bottom w:w="72" w:type="dxa"/>
              <w:right w:w="108" w:type="dxa"/>
            </w:tcMar>
            <w:vAlign w:val="top"/>
          </w:tcPr>
          <w:p>
            <w:pPr>
              <w:spacing w:before="0" w:after="0" w:line="252" w:lineRule="auto"/>
            </w:pPr>
          </w:p>
        </w:tc>
      </w:tr>
      <w:tr>
        <w:tc>
          <w:tcPr>
            <w:tcW w:w="1728"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Root cause</w:t>
            </w:r>
          </w:p>
        </w:tc>
        <w:tc>
          <w:tcPr>
            <w:tcW w:w="48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            The same root: the data an assessment needs is not where the assessment happens</w:t>
            </w:r>
          </w:p>
        </w:tc>
        <w:tc>
          <w:tcPr>
            <w:tcW w:w="1296" w:type="dxa"/>
            <w:shd w:val="clear" w:fill="FFFFFF"/>
            <w:tcMar>
              <w:top w:w="72" w:type="dxa"/>
              <w:left w:w="108" w:type="dxa"/>
              <w:bottom w:w="72" w:type="dxa"/>
              <w:right w:w="108" w:type="dxa"/>
            </w:tcMar>
            <w:vAlign w:val="top"/>
          </w:tcPr>
          <w:p>
            <w:pPr>
              <w:spacing w:before="0" w:after="0" w:line="252" w:lineRule="auto"/>
            </w:pPr>
          </w:p>
        </w:tc>
      </w:tr>
    </w:tbl>
    <w:p>
      <w:pPr>
        <w:spacing w:before="0" w:after="120" w:line="252" w:lineRule="auto"/>
      </w:pPr>
    </w:p>
    <w:p>
      <w:pPr>
        <w:spacing w:before="0" w:after="80" w:line="252" w:lineRule="auto"/>
      </w:pPr>
      <w:r>
        <w:rPr>
          <w:rFonts w:ascii="Aptos" w:hAnsi="Aptos"/>
          <w:i/>
          <w:color w:val="6B6A66"/>
          <w:sz w:val="18"/>
        </w:rPr>
        <w:t xml:space="preserve">Both branches end in the same place, which is what makes it a root cause rather than two problems.</w:t>
      </w:r>
    </w:p>
    <w:p>
      <w:pPr>
        <w:spacing w:before="0" w:after="120" w:line="252" w:lineRule="auto"/>
      </w:pPr>
      <w:r>
        <w:rPr>
          <w:rFonts w:ascii="Aptos" w:hAnsi="Aptos"/>
          <w:color w:val="6B6A66"/>
          <w:sz w:val="18"/>
        </w:rPr>
        <w:t xml:space="preserve">Why this and not its neighbour: Root cause analysis explains why the current state underperforms; it does not design the future state. An item that jumps from a recurring failure to a solution is testing whether you stopped to find the cause.</w:t>
      </w:r>
    </w:p>
    <w:p>
      <w:pPr>
        <w:pBdr>
          <w:bottom w:val="single" w:sz="6" w:color="D9D8D0"/>
        </w:pBdr>
        <w:spacing w:before="280" w:after="40" w:line="252" w:lineRule="auto"/>
      </w:pPr>
      <w:r>
        <w:rPr>
          <w:rFonts w:ascii="Aptos" w:hAnsi="Aptos"/>
          <w:b/>
          <w:color w:val="0B0B0B"/>
          <w:sz w:val="28"/>
        </w:rPr>
        <w:t xml:space="preserve">STEP 7  ·  10.20 Financial Analysis</w:t>
      </w:r>
    </w:p>
    <w:p>
      <w:pPr>
        <w:spacing w:before="0" w:after="120" w:line="252" w:lineRule="auto"/>
      </w:pPr>
      <w:r>
        <w:rPr>
          <w:rFonts w:ascii="Aptos" w:hAnsi="Aptos"/>
          <w:i/>
          <w:color w:val="184F95"/>
          <w:sz w:val="22"/>
        </w:rPr>
        <w:t xml:space="preserve">What is each option worth?</w:t>
      </w:r>
    </w:p>
    <w:tbl>
      <w:tblPr>
        <w:tblW w:w="0" w:type="auto"/>
        <w:tblBorders>
          <w:top w:val="single" w:sz="6" w:space="0" w:color="D9D8D0"/>
          <w:left w:val="single" w:sz="6" w:space="0" w:color="D9D8D0"/>
          <w:bottom w:val="single" w:sz="6" w:space="0" w:color="D9D8D0"/>
          <w:right w:val="single" w:sz="6" w:space="0" w:color="D9D8D0"/>
          <w:insideH w:val="single" w:sz="6" w:space="0" w:color="D9D8D0"/>
          <w:insideV w:val="single" w:sz="6" w:space="0" w:color="D9D8D0"/>
        </w:tblBorders>
        <w:tblLayout w:type="fixed"/>
      </w:tblPr>
      <w:tblGrid>
        <w:gridCol w:w="1440"/>
        <w:gridCol w:w="14976"/>
      </w:tblGrid>
      <w:tr>
        <w:tc>
          <w:tcPr>
            <w:tcW w:w="1440" w:type="dxa"/>
            <w:shd w:val="clear" w:fill="F7F7F5"/>
            <w:tcMar>
              <w:top w:w="72" w:type="dxa"/>
              <w:left w:w="108" w:type="dxa"/>
              <w:bottom w:w="72" w:type="dxa"/>
              <w:right w:w="108" w:type="dxa"/>
            </w:tcMar>
            <w:vAlign w:val="top"/>
          </w:tcPr>
          <w:p>
            <w:pPr>
              <w:spacing w:before="0" w:after="0" w:line="252" w:lineRule="auto"/>
            </w:pPr>
            <w:r>
              <w:rPr>
                <w:rFonts w:ascii="Aptos" w:hAnsi="Aptos"/>
                <w:b/>
                <w:color w:val="0B0B0B"/>
                <w:sz w:val="18"/>
              </w:rPr>
              <w:t xml:space="preserve">Takes</w:t>
            </w:r>
          </w:p>
        </w:tc>
        <w:tc>
          <w:tcPr>
            <w:tcW w:w="1497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8"/>
              </w:rPr>
              <w:t xml:space="preserve">The $41 cost to serve, and the root cause that says more assessors will not help.</w:t>
            </w:r>
          </w:p>
        </w:tc>
      </w:tr>
      <w:tr>
        <w:tc>
          <w:tcPr>
            <w:tcW w:w="1440" w:type="dxa"/>
            <w:shd w:val="clear" w:fill="FFFFFF"/>
            <w:tcMar>
              <w:top w:w="72" w:type="dxa"/>
              <w:left w:w="108" w:type="dxa"/>
              <w:bottom w:w="72" w:type="dxa"/>
              <w:right w:w="108" w:type="dxa"/>
            </w:tcMar>
            <w:vAlign w:val="top"/>
          </w:tcPr>
          <w:p>
            <w:pPr>
              <w:spacing w:before="0" w:after="0" w:line="252" w:lineRule="auto"/>
            </w:pPr>
            <w:r>
              <w:rPr>
                <w:rFonts w:ascii="Aptos" w:hAnsi="Aptos"/>
                <w:b/>
                <w:color w:val="0B0B0B"/>
                <w:sz w:val="18"/>
              </w:rPr>
              <w:t xml:space="preserve">Gives</w:t>
            </w:r>
          </w:p>
        </w:tc>
        <w:tc>
          <w:tcPr>
            <w:tcW w:w="1497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8"/>
              </w:rPr>
              <w:t xml:space="preserve">Three options valued over five years at 7%. B has the best NPV, C the fastest payback.</w:t>
            </w:r>
          </w:p>
        </w:tc>
      </w:tr>
    </w:tbl>
    <w:p>
      <w:pPr>
        <w:spacing w:before="0" w:after="120" w:line="252" w:lineRule="auto"/>
      </w:pPr>
    </w:p>
    <w:p>
      <w:pPr>
        <w:spacing w:before="0" w:after="80" w:line="252" w:lineRule="auto"/>
      </w:pPr>
      <w:r>
        <w:rPr>
          <w:rFonts w:ascii="Aptos" w:hAnsi="Aptos"/>
          <w:b/>
          <w:color w:val="0B0B0B"/>
          <w:sz w:val="22"/>
        </w:rPr>
        <w:t xml:space="preserve">Three options, five years, discounted at 7%</w:t>
      </w:r>
    </w:p>
    <w:tbl>
      <w:tblPr>
        <w:tblW w:w="0" w:type="auto"/>
        <w:tblBorders>
          <w:top w:val="single" w:sz="6" w:space="0" w:color="D9D8D0"/>
          <w:left w:val="single" w:sz="6" w:space="0" w:color="D9D8D0"/>
          <w:bottom w:val="single" w:sz="6" w:space="0" w:color="D9D8D0"/>
          <w:right w:val="single" w:sz="6" w:space="0" w:color="D9D8D0"/>
          <w:insideH w:val="single" w:sz="6" w:space="0" w:color="D9D8D0"/>
          <w:insideV w:val="single" w:sz="6" w:space="0" w:color="D9D8D0"/>
        </w:tblBorders>
        <w:tblLayout w:type="fixed"/>
      </w:tblPr>
      <w:tblGrid>
        <w:gridCol w:w="4421"/>
        <w:gridCol w:w="2347"/>
        <w:gridCol w:w="2088"/>
        <w:gridCol w:w="1728"/>
        <w:gridCol w:w="1728"/>
        <w:gridCol w:w="1483"/>
      </w:tblGrid>
      <w:tr>
        <w:trPr>
          <w:tblHeader/>
        </w:trPr>
        <w:tc>
          <w:tcPr>
            <w:tcW w:w="4421"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Option</w:t>
            </w:r>
          </w:p>
        </w:tc>
        <w:tc>
          <w:tcPr>
            <w:tcW w:w="2347"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Cost per permit</w:t>
            </w:r>
          </w:p>
        </w:tc>
        <w:tc>
          <w:tcPr>
            <w:tcW w:w="2088"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Annual saving</w:t>
            </w:r>
          </w:p>
        </w:tc>
        <w:tc>
          <w:tcPr>
            <w:tcW w:w="1728"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Investment</w:t>
            </w:r>
          </w:p>
        </w:tc>
        <w:tc>
          <w:tcPr>
            <w:tcW w:w="1728"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NPV</w:t>
            </w:r>
          </w:p>
        </w:tc>
        <w:tc>
          <w:tcPr>
            <w:tcW w:w="1483"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Payback</w:t>
            </w:r>
          </w:p>
        </w:tc>
      </w:tr>
      <w:tr>
        <w:tc>
          <w:tcPr>
            <w:tcW w:w="4421"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A  More assessors</w:t>
            </w:r>
          </w:p>
        </w:tc>
        <w:tc>
          <w:tcPr>
            <w:tcW w:w="2347"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$41</w:t>
            </w:r>
          </w:p>
        </w:tc>
        <w:tc>
          <w:tcPr>
            <w:tcW w:w="2088"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($180,000)</w:t>
            </w:r>
          </w:p>
        </w:tc>
        <w:tc>
          <w:tcPr>
            <w:tcW w:w="1728"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$120,000</w:t>
            </w:r>
          </w:p>
        </w:tc>
        <w:tc>
          <w:tcPr>
            <w:tcW w:w="1728"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($858,036)</w:t>
            </w:r>
          </w:p>
        </w:tc>
        <w:tc>
          <w:tcPr>
            <w:tcW w:w="1483"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never</w:t>
            </w:r>
          </w:p>
        </w:tc>
      </w:tr>
      <w:tr>
        <w:tc>
          <w:tcPr>
            <w:tcW w:w="4421"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B  Rules engine and self-service</w:t>
            </w:r>
          </w:p>
        </w:tc>
        <w:tc>
          <w:tcPr>
            <w:tcW w:w="2347"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$19</w:t>
            </w:r>
          </w:p>
        </w:tc>
        <w:tc>
          <w:tcPr>
            <w:tcW w:w="2088"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$264,000</w:t>
            </w:r>
          </w:p>
        </w:tc>
        <w:tc>
          <w:tcPr>
            <w:tcW w:w="1728"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$700,000</w:t>
            </w:r>
          </w:p>
        </w:tc>
        <w:tc>
          <w:tcPr>
            <w:tcW w:w="1728"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$382,452</w:t>
            </w:r>
          </w:p>
        </w:tc>
        <w:tc>
          <w:tcPr>
            <w:tcW w:w="1483"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2.65 yrs</w:t>
            </w:r>
          </w:p>
        </w:tc>
      </w:tr>
      <w:tr>
        <w:tc>
          <w:tcPr>
            <w:tcW w:w="4421"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C  Outsource assessment</w:t>
            </w:r>
          </w:p>
        </w:tc>
        <w:tc>
          <w:tcPr>
            <w:tcW w:w="2347"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$31</w:t>
            </w:r>
          </w:p>
        </w:tc>
        <w:tc>
          <w:tcPr>
            <w:tcW w:w="2088"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$120,000</w:t>
            </w:r>
          </w:p>
        </w:tc>
        <w:tc>
          <w:tcPr>
            <w:tcW w:w="1728"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$250,000</w:t>
            </w:r>
          </w:p>
        </w:tc>
        <w:tc>
          <w:tcPr>
            <w:tcW w:w="1728"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$242,024</w:t>
            </w:r>
          </w:p>
        </w:tc>
        <w:tc>
          <w:tcPr>
            <w:tcW w:w="1483"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2.08 yrs</w:t>
            </w:r>
          </w:p>
        </w:tc>
      </w:tr>
    </w:tbl>
    <w:p>
      <w:pPr>
        <w:spacing w:before="0" w:after="120" w:line="252" w:lineRule="auto"/>
      </w:pPr>
    </w:p>
    <w:p>
      <w:pPr>
        <w:spacing w:before="0" w:after="80" w:line="252" w:lineRule="auto"/>
      </w:pPr>
      <w:r>
        <w:rPr>
          <w:rFonts w:ascii="Aptos" w:hAnsi="Aptos"/>
          <w:i/>
          <w:color w:val="6B6A66"/>
          <w:sz w:val="18"/>
        </w:rPr>
        <w:t xml:space="preserve">Option A is the one the executive asked for. It adds touch-time capacity to a queue problem and returns a negative NPV, which is exactly what the root cause predicted.</w:t>
      </w:r>
    </w:p>
    <w:p>
      <w:pPr>
        <w:spacing w:before="0" w:after="120" w:line="252" w:lineRule="auto"/>
      </w:pPr>
      <w:r>
        <w:rPr>
          <w:rFonts w:ascii="Aptos" w:hAnsi="Aptos"/>
          <w:color w:val="6B6A66"/>
          <w:sz w:val="18"/>
        </w:rPr>
        <w:t xml:space="preserve">Why this and not its neighbour: Financial analysis values what is already forecast; estimation produces the forecast. And a positive return is not the same as the best option: the exam repeatedly offers an option that is profitable but beaten by an alternative.</w:t>
      </w:r>
    </w:p>
    <w:p>
      <w:pPr>
        <w:pBdr>
          <w:bottom w:val="single" w:sz="6" w:color="D9D8D0"/>
        </w:pBdr>
        <w:spacing w:before="280" w:after="40" w:line="252" w:lineRule="auto"/>
      </w:pPr>
      <w:r>
        <w:rPr>
          <w:rFonts w:ascii="Aptos" w:hAnsi="Aptos"/>
          <w:b/>
          <w:color w:val="0B0B0B"/>
          <w:sz w:val="28"/>
        </w:rPr>
        <w:t xml:space="preserve">STEP 8  ·  10.16 Decision Analysis</w:t>
      </w:r>
    </w:p>
    <w:p>
      <w:pPr>
        <w:spacing w:before="0" w:after="120" w:line="252" w:lineRule="auto"/>
      </w:pPr>
      <w:r>
        <w:rPr>
          <w:rFonts w:ascii="Aptos" w:hAnsi="Aptos"/>
          <w:i/>
          <w:color w:val="184F95"/>
          <w:sz w:val="22"/>
        </w:rPr>
        <w:t xml:space="preserve">B has the better return and C pays back sooner. Which?</w:t>
      </w:r>
    </w:p>
    <w:tbl>
      <w:tblPr>
        <w:tblW w:w="0" w:type="auto"/>
        <w:tblBorders>
          <w:top w:val="single" w:sz="6" w:space="0" w:color="D9D8D0"/>
          <w:left w:val="single" w:sz="6" w:space="0" w:color="D9D8D0"/>
          <w:bottom w:val="single" w:sz="6" w:space="0" w:color="D9D8D0"/>
          <w:right w:val="single" w:sz="6" w:space="0" w:color="D9D8D0"/>
          <w:insideH w:val="single" w:sz="6" w:space="0" w:color="D9D8D0"/>
          <w:insideV w:val="single" w:sz="6" w:space="0" w:color="D9D8D0"/>
        </w:tblBorders>
        <w:tblLayout w:type="fixed"/>
      </w:tblPr>
      <w:tblGrid>
        <w:gridCol w:w="1440"/>
        <w:gridCol w:w="14976"/>
      </w:tblGrid>
      <w:tr>
        <w:tc>
          <w:tcPr>
            <w:tcW w:w="1440" w:type="dxa"/>
            <w:shd w:val="clear" w:fill="F7F7F5"/>
            <w:tcMar>
              <w:top w:w="72" w:type="dxa"/>
              <w:left w:w="108" w:type="dxa"/>
              <w:bottom w:w="72" w:type="dxa"/>
              <w:right w:w="108" w:type="dxa"/>
            </w:tcMar>
            <w:vAlign w:val="top"/>
          </w:tcPr>
          <w:p>
            <w:pPr>
              <w:spacing w:before="0" w:after="0" w:line="252" w:lineRule="auto"/>
            </w:pPr>
            <w:r>
              <w:rPr>
                <w:rFonts w:ascii="Aptos" w:hAnsi="Aptos"/>
                <w:b/>
                <w:color w:val="0B0B0B"/>
                <w:sz w:val="18"/>
              </w:rPr>
              <w:t xml:space="preserve">Takes</w:t>
            </w:r>
          </w:p>
        </w:tc>
        <w:tc>
          <w:tcPr>
            <w:tcW w:w="1497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8"/>
              </w:rPr>
              <w:t xml:space="preserve">The NPV and payback figures, unchanged.</w:t>
            </w:r>
          </w:p>
        </w:tc>
      </w:tr>
      <w:tr>
        <w:tc>
          <w:tcPr>
            <w:tcW w:w="1440" w:type="dxa"/>
            <w:shd w:val="clear" w:fill="FFFFFF"/>
            <w:tcMar>
              <w:top w:w="72" w:type="dxa"/>
              <w:left w:w="108" w:type="dxa"/>
              <w:bottom w:w="72" w:type="dxa"/>
              <w:right w:w="108" w:type="dxa"/>
            </w:tcMar>
            <w:vAlign w:val="top"/>
          </w:tcPr>
          <w:p>
            <w:pPr>
              <w:spacing w:before="0" w:after="0" w:line="252" w:lineRule="auto"/>
            </w:pPr>
            <w:r>
              <w:rPr>
                <w:rFonts w:ascii="Aptos" w:hAnsi="Aptos"/>
                <w:b/>
                <w:color w:val="0B0B0B"/>
                <w:sz w:val="18"/>
              </w:rPr>
              <w:t xml:space="preserve">Gives</w:t>
            </w:r>
          </w:p>
        </w:tc>
        <w:tc>
          <w:tcPr>
            <w:tcW w:w="1497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8"/>
              </w:rPr>
              <w:t xml:space="preserve">A recommendation with the weighting visible, so the argument is about criteria rather than preference.</w:t>
            </w:r>
          </w:p>
        </w:tc>
      </w:tr>
    </w:tbl>
    <w:p>
      <w:pPr>
        <w:spacing w:before="0" w:after="120" w:line="252" w:lineRule="auto"/>
      </w:pPr>
    </w:p>
    <w:p>
      <w:pPr>
        <w:spacing w:before="0" w:after="80" w:line="252" w:lineRule="auto"/>
      </w:pPr>
      <w:r>
        <w:rPr>
          <w:rFonts w:ascii="Aptos" w:hAnsi="Aptos"/>
          <w:b/>
          <w:color w:val="0B0B0B"/>
          <w:sz w:val="22"/>
        </w:rPr>
        <w:t xml:space="preserve">Weighted against criteria agreed before scoring</w:t>
      </w:r>
    </w:p>
    <w:tbl>
      <w:tblPr>
        <w:tblW w:w="0" w:type="auto"/>
        <w:tblBorders>
          <w:top w:val="single" w:sz="6" w:space="0" w:color="D9D8D0"/>
          <w:left w:val="single" w:sz="6" w:space="0" w:color="D9D8D0"/>
          <w:bottom w:val="single" w:sz="6" w:space="0" w:color="D9D8D0"/>
          <w:right w:val="single" w:sz="6" w:space="0" w:color="D9D8D0"/>
          <w:insideH w:val="single" w:sz="6" w:space="0" w:color="D9D8D0"/>
          <w:insideV w:val="single" w:sz="6" w:space="0" w:color="D9D8D0"/>
        </w:tblBorders>
        <w:tblLayout w:type="fixed"/>
      </w:tblPr>
      <w:tblGrid>
        <w:gridCol w:w="4896"/>
        <w:gridCol w:w="1296"/>
        <w:gridCol w:w="1296"/>
        <w:gridCol w:w="1296"/>
        <w:gridCol w:w="1296"/>
      </w:tblGrid>
      <w:tr>
        <w:trPr>
          <w:tblHeader/>
        </w:trPr>
        <w:tc>
          <w:tcPr>
            <w:tcW w:w="4896"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Criterion</w:t>
            </w:r>
          </w:p>
        </w:tc>
        <w:tc>
          <w:tcPr>
            <w:tcW w:w="1296"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Weight</w:t>
            </w:r>
          </w:p>
        </w:tc>
        <w:tc>
          <w:tcPr>
            <w:tcW w:w="1296"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A</w:t>
            </w:r>
          </w:p>
        </w:tc>
        <w:tc>
          <w:tcPr>
            <w:tcW w:w="1296"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B</w:t>
            </w:r>
          </w:p>
        </w:tc>
        <w:tc>
          <w:tcPr>
            <w:tcW w:w="1296"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C</w:t>
            </w:r>
          </w:p>
        </w:tc>
      </w:tr>
      <w:tr>
        <w:tc>
          <w:tcPr>
            <w:tcW w:w="48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Meets the 15-day obligation</w:t>
            </w:r>
          </w:p>
        </w:tc>
        <w:tc>
          <w:tcPr>
            <w:tcW w:w="12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40%</w:t>
            </w:r>
          </w:p>
        </w:tc>
        <w:tc>
          <w:tcPr>
            <w:tcW w:w="12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1</w:t>
            </w:r>
          </w:p>
        </w:tc>
        <w:tc>
          <w:tcPr>
            <w:tcW w:w="12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5</w:t>
            </w:r>
          </w:p>
        </w:tc>
        <w:tc>
          <w:tcPr>
            <w:tcW w:w="12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3</w:t>
            </w:r>
          </w:p>
        </w:tc>
      </w:tr>
      <w:tr>
        <w:tc>
          <w:tcPr>
            <w:tcW w:w="48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Five-year value</w:t>
            </w:r>
          </w:p>
        </w:tc>
        <w:tc>
          <w:tcPr>
            <w:tcW w:w="12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25%</w:t>
            </w:r>
          </w:p>
        </w:tc>
        <w:tc>
          <w:tcPr>
            <w:tcW w:w="12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1</w:t>
            </w:r>
          </w:p>
        </w:tc>
        <w:tc>
          <w:tcPr>
            <w:tcW w:w="12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5</w:t>
            </w:r>
          </w:p>
        </w:tc>
        <w:tc>
          <w:tcPr>
            <w:tcW w:w="12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4</w:t>
            </w:r>
          </w:p>
        </w:tc>
      </w:tr>
      <w:tr>
        <w:tc>
          <w:tcPr>
            <w:tcW w:w="48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Cash exposure</w:t>
            </w:r>
          </w:p>
        </w:tc>
        <w:tc>
          <w:tcPr>
            <w:tcW w:w="12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15%</w:t>
            </w:r>
          </w:p>
        </w:tc>
        <w:tc>
          <w:tcPr>
            <w:tcW w:w="12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4</w:t>
            </w:r>
          </w:p>
        </w:tc>
        <w:tc>
          <w:tcPr>
            <w:tcW w:w="12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2</w:t>
            </w:r>
          </w:p>
        </w:tc>
        <w:tc>
          <w:tcPr>
            <w:tcW w:w="12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4</w:t>
            </w:r>
          </w:p>
        </w:tc>
      </w:tr>
      <w:tr>
        <w:tc>
          <w:tcPr>
            <w:tcW w:w="48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Keeps assessment capability in house</w:t>
            </w:r>
          </w:p>
        </w:tc>
        <w:tc>
          <w:tcPr>
            <w:tcW w:w="12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20%</w:t>
            </w:r>
          </w:p>
        </w:tc>
        <w:tc>
          <w:tcPr>
            <w:tcW w:w="12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5</w:t>
            </w:r>
          </w:p>
        </w:tc>
        <w:tc>
          <w:tcPr>
            <w:tcW w:w="12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5</w:t>
            </w:r>
          </w:p>
        </w:tc>
        <w:tc>
          <w:tcPr>
            <w:tcW w:w="12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1</w:t>
            </w:r>
          </w:p>
        </w:tc>
      </w:tr>
      <w:tr>
        <w:tc>
          <w:tcPr>
            <w:tcW w:w="4896" w:type="dxa"/>
            <w:shd w:val="clear" w:fill="E9F1FD"/>
            <w:tcMar>
              <w:top w:w="72" w:type="dxa"/>
              <w:left w:w="108" w:type="dxa"/>
              <w:bottom w:w="72" w:type="dxa"/>
              <w:right w:w="108" w:type="dxa"/>
            </w:tcMar>
            <w:vAlign w:val="top"/>
          </w:tcPr>
          <w:p>
            <w:pPr>
              <w:spacing w:before="0" w:after="0" w:line="252" w:lineRule="auto"/>
            </w:pPr>
            <w:r>
              <w:rPr>
                <w:rFonts w:ascii="Aptos" w:hAnsi="Aptos"/>
                <w:b/>
                <w:color w:val="0B0B0B"/>
                <w:sz w:val="17"/>
              </w:rPr>
              <w:t xml:space="preserve">Weighted total</w:t>
            </w:r>
          </w:p>
        </w:tc>
        <w:tc>
          <w:tcPr>
            <w:tcW w:w="1296" w:type="dxa"/>
            <w:shd w:val="clear" w:fill="E9F1FD"/>
            <w:tcMar>
              <w:top w:w="72" w:type="dxa"/>
              <w:left w:w="108" w:type="dxa"/>
              <w:bottom w:w="72" w:type="dxa"/>
              <w:right w:w="108" w:type="dxa"/>
            </w:tcMar>
            <w:vAlign w:val="top"/>
          </w:tcPr>
          <w:p>
            <w:pPr>
              <w:spacing w:before="0" w:after="0" w:line="252" w:lineRule="auto"/>
            </w:pPr>
            <w:r>
              <w:rPr>
                <w:rFonts w:ascii="Aptos" w:hAnsi="Aptos"/>
                <w:b/>
                <w:color w:val="0B0B0B"/>
                <w:sz w:val="17"/>
              </w:rPr>
              <w:t xml:space="preserve">100%</w:t>
            </w:r>
          </w:p>
        </w:tc>
        <w:tc>
          <w:tcPr>
            <w:tcW w:w="1296" w:type="dxa"/>
            <w:shd w:val="clear" w:fill="E9F1FD"/>
            <w:tcMar>
              <w:top w:w="72" w:type="dxa"/>
              <w:left w:w="108" w:type="dxa"/>
              <w:bottom w:w="72" w:type="dxa"/>
              <w:right w:w="108" w:type="dxa"/>
            </w:tcMar>
            <w:vAlign w:val="top"/>
          </w:tcPr>
          <w:p>
            <w:pPr>
              <w:spacing w:before="0" w:after="0" w:line="252" w:lineRule="auto"/>
            </w:pPr>
            <w:r>
              <w:rPr>
                <w:rFonts w:ascii="Aptos" w:hAnsi="Aptos"/>
                <w:b/>
                <w:color w:val="0B0B0B"/>
                <w:sz w:val="17"/>
              </w:rPr>
              <w:t xml:space="preserve">2.25</w:t>
            </w:r>
          </w:p>
        </w:tc>
        <w:tc>
          <w:tcPr>
            <w:tcW w:w="1296" w:type="dxa"/>
            <w:shd w:val="clear" w:fill="E9F1FD"/>
            <w:tcMar>
              <w:top w:w="72" w:type="dxa"/>
              <w:left w:w="108" w:type="dxa"/>
              <w:bottom w:w="72" w:type="dxa"/>
              <w:right w:w="108" w:type="dxa"/>
            </w:tcMar>
            <w:vAlign w:val="top"/>
          </w:tcPr>
          <w:p>
            <w:pPr>
              <w:spacing w:before="0" w:after="0" w:line="252" w:lineRule="auto"/>
            </w:pPr>
            <w:r>
              <w:rPr>
                <w:rFonts w:ascii="Aptos" w:hAnsi="Aptos"/>
                <w:b/>
                <w:color w:val="0B0B0B"/>
                <w:sz w:val="17"/>
              </w:rPr>
              <w:t xml:space="preserve">4.55</w:t>
            </w:r>
          </w:p>
        </w:tc>
        <w:tc>
          <w:tcPr>
            <w:tcW w:w="1296" w:type="dxa"/>
            <w:shd w:val="clear" w:fill="E9F1FD"/>
            <w:tcMar>
              <w:top w:w="72" w:type="dxa"/>
              <w:left w:w="108" w:type="dxa"/>
              <w:bottom w:w="72" w:type="dxa"/>
              <w:right w:w="108" w:type="dxa"/>
            </w:tcMar>
            <w:vAlign w:val="top"/>
          </w:tcPr>
          <w:p>
            <w:pPr>
              <w:spacing w:before="0" w:after="0" w:line="252" w:lineRule="auto"/>
            </w:pPr>
            <w:r>
              <w:rPr>
                <w:rFonts w:ascii="Aptos" w:hAnsi="Aptos"/>
                <w:b/>
                <w:color w:val="0B0B0B"/>
                <w:sz w:val="17"/>
              </w:rPr>
              <w:t xml:space="preserve">2.95</w:t>
            </w:r>
          </w:p>
        </w:tc>
      </w:tr>
    </w:tbl>
    <w:p>
      <w:pPr>
        <w:spacing w:before="0" w:after="120" w:line="252" w:lineRule="auto"/>
      </w:pPr>
    </w:p>
    <w:p>
      <w:pPr>
        <w:spacing w:before="0" w:after="80" w:line="252" w:lineRule="auto"/>
      </w:pPr>
      <w:r>
        <w:rPr>
          <w:rFonts w:ascii="Aptos" w:hAnsi="Aptos"/>
          <w:i/>
          <w:color w:val="6B6A66"/>
          <w:sz w:val="18"/>
        </w:rPr>
        <w:t xml:space="preserve">C pays back faster and still loses, because payback carries 15% of the decision and the statutory obligation carries 40%. Naming the weights first is what stops that being an argument about opinions.</w:t>
      </w:r>
    </w:p>
    <w:p>
      <w:pPr>
        <w:spacing w:before="0" w:after="120" w:line="252" w:lineRule="auto"/>
      </w:pPr>
      <w:r>
        <w:rPr>
          <w:rFonts w:ascii="Aptos" w:hAnsi="Aptos"/>
          <w:color w:val="6B6A66"/>
          <w:sz w:val="18"/>
        </w:rPr>
        <w:t xml:space="preserve">Why this and not its neighbour: Decision analysis chooses between options; prioritisation sequences items you have already agreed to do. If nothing is being discarded, it is prioritisation.</w:t>
      </w:r>
    </w:p>
    <w:p>
      <w:pPr>
        <w:pBdr>
          <w:bottom w:val="single" w:sz="6" w:color="D9D8D0"/>
        </w:pBdr>
        <w:spacing w:before="280" w:after="40" w:line="252" w:lineRule="auto"/>
      </w:pPr>
      <w:r>
        <w:rPr>
          <w:rFonts w:ascii="Aptos" w:hAnsi="Aptos"/>
          <w:b/>
          <w:color w:val="0B0B0B"/>
          <w:sz w:val="28"/>
        </w:rPr>
        <w:t xml:space="preserve">STEP 9  ·  10.38 Risk Analysis and Management</w:t>
      </w:r>
    </w:p>
    <w:p>
      <w:pPr>
        <w:spacing w:before="0" w:after="120" w:line="252" w:lineRule="auto"/>
      </w:pPr>
      <w:r>
        <w:rPr>
          <w:rFonts w:ascii="Aptos" w:hAnsi="Aptos"/>
          <w:i/>
          <w:color w:val="184F95"/>
          <w:sz w:val="22"/>
        </w:rPr>
        <w:t xml:space="preserve">What could stop option B working?</w:t>
      </w:r>
    </w:p>
    <w:tbl>
      <w:tblPr>
        <w:tblW w:w="0" w:type="auto"/>
        <w:tblBorders>
          <w:top w:val="single" w:sz="6" w:space="0" w:color="D9D8D0"/>
          <w:left w:val="single" w:sz="6" w:space="0" w:color="D9D8D0"/>
          <w:bottom w:val="single" w:sz="6" w:space="0" w:color="D9D8D0"/>
          <w:right w:val="single" w:sz="6" w:space="0" w:color="D9D8D0"/>
          <w:insideH w:val="single" w:sz="6" w:space="0" w:color="D9D8D0"/>
          <w:insideV w:val="single" w:sz="6" w:space="0" w:color="D9D8D0"/>
        </w:tblBorders>
        <w:tblLayout w:type="fixed"/>
      </w:tblPr>
      <w:tblGrid>
        <w:gridCol w:w="1440"/>
        <w:gridCol w:w="14976"/>
      </w:tblGrid>
      <w:tr>
        <w:tc>
          <w:tcPr>
            <w:tcW w:w="1440" w:type="dxa"/>
            <w:shd w:val="clear" w:fill="F7F7F5"/>
            <w:tcMar>
              <w:top w:w="72" w:type="dxa"/>
              <w:left w:w="108" w:type="dxa"/>
              <w:bottom w:w="72" w:type="dxa"/>
              <w:right w:w="108" w:type="dxa"/>
            </w:tcMar>
            <w:vAlign w:val="top"/>
          </w:tcPr>
          <w:p>
            <w:pPr>
              <w:spacing w:before="0" w:after="0" w:line="252" w:lineRule="auto"/>
            </w:pPr>
            <w:r>
              <w:rPr>
                <w:rFonts w:ascii="Aptos" w:hAnsi="Aptos"/>
                <w:b/>
                <w:color w:val="0B0B0B"/>
                <w:sz w:val="18"/>
              </w:rPr>
              <w:t xml:space="preserve">Takes</w:t>
            </w:r>
          </w:p>
        </w:tc>
        <w:tc>
          <w:tcPr>
            <w:tcW w:w="1497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8"/>
              </w:rPr>
              <w:t xml:space="preserve">The recommended option, and the road manager veto from the stakeholder map.</w:t>
            </w:r>
          </w:p>
        </w:tc>
      </w:tr>
      <w:tr>
        <w:tc>
          <w:tcPr>
            <w:tcW w:w="1440" w:type="dxa"/>
            <w:shd w:val="clear" w:fill="FFFFFF"/>
            <w:tcMar>
              <w:top w:w="72" w:type="dxa"/>
              <w:left w:w="108" w:type="dxa"/>
              <w:bottom w:w="72" w:type="dxa"/>
              <w:right w:w="108" w:type="dxa"/>
            </w:tcMar>
            <w:vAlign w:val="top"/>
          </w:tcPr>
          <w:p>
            <w:pPr>
              <w:spacing w:before="0" w:after="0" w:line="252" w:lineRule="auto"/>
            </w:pPr>
            <w:r>
              <w:rPr>
                <w:rFonts w:ascii="Aptos" w:hAnsi="Aptos"/>
                <w:b/>
                <w:color w:val="0B0B0B"/>
                <w:sz w:val="18"/>
              </w:rPr>
              <w:t xml:space="preserve">Gives</w:t>
            </w:r>
          </w:p>
        </w:tc>
        <w:tc>
          <w:tcPr>
            <w:tcW w:w="1497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8"/>
              </w:rPr>
              <w:t xml:space="preserve">An expected monetary value of $196,000, which goes into the business case beside the benefit.</w:t>
            </w:r>
          </w:p>
        </w:tc>
      </w:tr>
    </w:tbl>
    <w:p>
      <w:pPr>
        <w:spacing w:before="0" w:after="120" w:line="252" w:lineRule="auto"/>
      </w:pPr>
    </w:p>
    <w:p>
      <w:pPr>
        <w:spacing w:before="0" w:after="80" w:line="252" w:lineRule="auto"/>
      </w:pPr>
      <w:r>
        <w:rPr>
          <w:rFonts w:ascii="Aptos" w:hAnsi="Aptos"/>
          <w:b/>
          <w:color w:val="0B0B0B"/>
          <w:sz w:val="22"/>
        </w:rPr>
        <w:t xml:space="preserve">Option B risks, post-mitigation</w:t>
      </w:r>
    </w:p>
    <w:tbl>
      <w:tblPr>
        <w:tblW w:w="0" w:type="auto"/>
        <w:tblBorders>
          <w:top w:val="single" w:sz="6" w:space="0" w:color="D9D8D0"/>
          <w:left w:val="single" w:sz="6" w:space="0" w:color="D9D8D0"/>
          <w:bottom w:val="single" w:sz="6" w:space="0" w:color="D9D8D0"/>
          <w:right w:val="single" w:sz="6" w:space="0" w:color="D9D8D0"/>
          <w:insideH w:val="single" w:sz="6" w:space="0" w:color="D9D8D0"/>
          <w:insideV w:val="single" w:sz="6" w:space="0" w:color="D9D8D0"/>
        </w:tblBorders>
        <w:tblLayout w:type="fixed"/>
      </w:tblPr>
      <w:tblGrid>
        <w:gridCol w:w="2837"/>
        <w:gridCol w:w="3442"/>
        <w:gridCol w:w="4896"/>
        <w:gridCol w:w="1296"/>
      </w:tblGrid>
      <w:tr>
        <w:trPr>
          <w:tblHeader/>
        </w:trPr>
        <w:tc>
          <w:tcPr>
            <w:tcW w:w="2837"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Likelihood \ Impact</w:t>
            </w:r>
          </w:p>
        </w:tc>
        <w:tc>
          <w:tcPr>
            <w:tcW w:w="3442"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Moderate</w:t>
            </w:r>
          </w:p>
        </w:tc>
        <w:tc>
          <w:tcPr>
            <w:tcW w:w="4896"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Major</w:t>
            </w:r>
          </w:p>
        </w:tc>
        <w:tc>
          <w:tcPr>
            <w:tcW w:w="1296"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Severe</w:t>
            </w:r>
          </w:p>
        </w:tc>
      </w:tr>
      <w:tr>
        <w:tc>
          <w:tcPr>
            <w:tcW w:w="2837"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Likely</w:t>
            </w:r>
          </w:p>
        </w:tc>
        <w:tc>
          <w:tcPr>
            <w:tcW w:w="3442"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Assessor adoption</w:t>
            </w:r>
          </w:p>
        </w:tc>
        <w:tc>
          <w:tcPr>
            <w:tcW w:w="4896" w:type="dxa"/>
            <w:shd w:val="clear" w:fill="FFFFFF"/>
            <w:tcMar>
              <w:top w:w="72" w:type="dxa"/>
              <w:left w:w="108" w:type="dxa"/>
              <w:bottom w:w="72" w:type="dxa"/>
              <w:right w:w="108" w:type="dxa"/>
            </w:tcMar>
            <w:vAlign w:val="top"/>
          </w:tcPr>
          <w:p>
            <w:pPr>
              <w:spacing w:before="0" w:after="0" w:line="252" w:lineRule="auto"/>
            </w:pPr>
          </w:p>
        </w:tc>
        <w:tc>
          <w:tcPr>
            <w:tcW w:w="1296" w:type="dxa"/>
            <w:shd w:val="clear" w:fill="FFFFFF"/>
            <w:tcMar>
              <w:top w:w="72" w:type="dxa"/>
              <w:left w:w="108" w:type="dxa"/>
              <w:bottom w:w="72" w:type="dxa"/>
              <w:right w:w="108" w:type="dxa"/>
            </w:tcMar>
            <w:vAlign w:val="top"/>
          </w:tcPr>
          <w:p>
            <w:pPr>
              <w:spacing w:before="0" w:after="0" w:line="252" w:lineRule="auto"/>
            </w:pPr>
          </w:p>
        </w:tc>
      </w:tr>
      <w:tr>
        <w:tc>
          <w:tcPr>
            <w:tcW w:w="2837"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Possible</w:t>
            </w:r>
          </w:p>
        </w:tc>
        <w:tc>
          <w:tcPr>
            <w:tcW w:w="3442"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Restriction data quality</w:t>
            </w:r>
          </w:p>
        </w:tc>
        <w:tc>
          <w:tcPr>
            <w:tcW w:w="48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EMV $126,000
Councils decline to consent digitally</w:t>
            </w:r>
          </w:p>
        </w:tc>
        <w:tc>
          <w:tcPr>
            <w:tcW w:w="1296" w:type="dxa"/>
            <w:shd w:val="clear" w:fill="F7F7F5"/>
            <w:tcMar>
              <w:top w:w="72" w:type="dxa"/>
              <w:left w:w="108" w:type="dxa"/>
              <w:bottom w:w="72" w:type="dxa"/>
              <w:right w:w="108" w:type="dxa"/>
            </w:tcMar>
            <w:vAlign w:val="top"/>
          </w:tcPr>
          <w:p>
            <w:pPr>
              <w:spacing w:before="0" w:after="0" w:line="252" w:lineRule="auto"/>
            </w:pPr>
          </w:p>
        </w:tc>
      </w:tr>
      <w:tr>
        <w:tc>
          <w:tcPr>
            <w:tcW w:w="2837"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Unlikely</w:t>
            </w:r>
          </w:p>
        </w:tc>
        <w:tc>
          <w:tcPr>
            <w:tcW w:w="3442" w:type="dxa"/>
            <w:shd w:val="clear" w:fill="FFFFFF"/>
            <w:tcMar>
              <w:top w:w="72" w:type="dxa"/>
              <w:left w:w="108" w:type="dxa"/>
              <w:bottom w:w="72" w:type="dxa"/>
              <w:right w:w="108" w:type="dxa"/>
            </w:tcMar>
            <w:vAlign w:val="top"/>
          </w:tcPr>
          <w:p>
            <w:pPr>
              <w:spacing w:before="0" w:after="0" w:line="252" w:lineRule="auto"/>
            </w:pPr>
          </w:p>
        </w:tc>
        <w:tc>
          <w:tcPr>
            <w:tcW w:w="48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EMV $70,000
Scheme rules change before go-live</w:t>
            </w:r>
          </w:p>
        </w:tc>
        <w:tc>
          <w:tcPr>
            <w:tcW w:w="1296" w:type="dxa"/>
            <w:shd w:val="clear" w:fill="FFFFFF"/>
            <w:tcMar>
              <w:top w:w="72" w:type="dxa"/>
              <w:left w:w="108" w:type="dxa"/>
              <w:bottom w:w="72" w:type="dxa"/>
              <w:right w:w="108" w:type="dxa"/>
            </w:tcMar>
            <w:vAlign w:val="top"/>
          </w:tcPr>
          <w:p>
            <w:pPr>
              <w:spacing w:before="0" w:after="0" w:line="252" w:lineRule="auto"/>
            </w:pPr>
          </w:p>
        </w:tc>
      </w:tr>
    </w:tbl>
    <w:p>
      <w:pPr>
        <w:spacing w:before="0" w:after="120" w:line="252" w:lineRule="auto"/>
      </w:pPr>
    </w:p>
    <w:p>
      <w:pPr>
        <w:spacing w:before="0" w:after="80" w:line="252" w:lineRule="auto"/>
      </w:pPr>
      <w:r>
        <w:rPr>
          <w:rFonts w:ascii="Aptos" w:hAnsi="Aptos"/>
          <w:i/>
          <w:color w:val="6B6A66"/>
          <w:sz w:val="18"/>
        </w:rPr>
        <w:t xml:space="preserve">Expected monetary value across all outcomes is $196,000. That figure enters the business case; the severe cases stay here.</w:t>
      </w:r>
    </w:p>
    <w:p>
      <w:pPr>
        <w:spacing w:before="0" w:after="120" w:line="252" w:lineRule="auto"/>
      </w:pPr>
      <w:r>
        <w:rPr>
          <w:rFonts w:ascii="Aptos" w:hAnsi="Aptos"/>
          <w:color w:val="6B6A66"/>
          <w:sz w:val="18"/>
        </w:rPr>
        <w:t xml:space="preserve">Why this and not its neighbour: A risk is an uncertain future event; an issue is already happening and belongs in item tracking. And the responses are avoid, transfer, mitigate, accept or increase, not simply escalate.</w:t>
      </w:r>
    </w:p>
    <w:p>
      <w:pPr>
        <w:pBdr>
          <w:bottom w:val="single" w:sz="6" w:color="D9D8D0"/>
        </w:pBdr>
        <w:spacing w:before="280" w:after="40" w:line="252" w:lineRule="auto"/>
      </w:pPr>
      <w:r>
        <w:rPr>
          <w:rFonts w:ascii="Aptos" w:hAnsi="Aptos"/>
          <w:b/>
          <w:color w:val="0B0B0B"/>
          <w:sz w:val="28"/>
        </w:rPr>
        <w:t xml:space="preserve">STEP 10  ·  10.7 Business Cases</w:t>
      </w:r>
    </w:p>
    <w:p>
      <w:pPr>
        <w:spacing w:before="0" w:after="120" w:line="252" w:lineRule="auto"/>
      </w:pPr>
      <w:r>
        <w:rPr>
          <w:rFonts w:ascii="Aptos" w:hAnsi="Aptos"/>
          <w:i/>
          <w:color w:val="184F95"/>
          <w:sz w:val="22"/>
        </w:rPr>
        <w:t xml:space="preserve">Is the change justified, and on what?</w:t>
      </w:r>
    </w:p>
    <w:tbl>
      <w:tblPr>
        <w:tblW w:w="0" w:type="auto"/>
        <w:tblBorders>
          <w:top w:val="single" w:sz="6" w:space="0" w:color="D9D8D0"/>
          <w:left w:val="single" w:sz="6" w:space="0" w:color="D9D8D0"/>
          <w:bottom w:val="single" w:sz="6" w:space="0" w:color="D9D8D0"/>
          <w:right w:val="single" w:sz="6" w:space="0" w:color="D9D8D0"/>
          <w:insideH w:val="single" w:sz="6" w:space="0" w:color="D9D8D0"/>
          <w:insideV w:val="single" w:sz="6" w:space="0" w:color="D9D8D0"/>
        </w:tblBorders>
        <w:tblLayout w:type="fixed"/>
      </w:tblPr>
      <w:tblGrid>
        <w:gridCol w:w="1440"/>
        <w:gridCol w:w="14976"/>
      </w:tblGrid>
      <w:tr>
        <w:tc>
          <w:tcPr>
            <w:tcW w:w="1440" w:type="dxa"/>
            <w:shd w:val="clear" w:fill="F7F7F5"/>
            <w:tcMar>
              <w:top w:w="72" w:type="dxa"/>
              <w:left w:w="108" w:type="dxa"/>
              <w:bottom w:w="72" w:type="dxa"/>
              <w:right w:w="108" w:type="dxa"/>
            </w:tcMar>
            <w:vAlign w:val="top"/>
          </w:tcPr>
          <w:p>
            <w:pPr>
              <w:spacing w:before="0" w:after="0" w:line="252" w:lineRule="auto"/>
            </w:pPr>
            <w:r>
              <w:rPr>
                <w:rFonts w:ascii="Aptos" w:hAnsi="Aptos"/>
                <w:b/>
                <w:color w:val="0B0B0B"/>
                <w:sz w:val="18"/>
              </w:rPr>
              <w:t xml:space="preserve">Takes</w:t>
            </w:r>
          </w:p>
        </w:tc>
        <w:tc>
          <w:tcPr>
            <w:tcW w:w="1497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8"/>
              </w:rPr>
              <w:t xml:space="preserve">Need, options, value, risk — each already produced by a step above.</w:t>
            </w:r>
          </w:p>
        </w:tc>
      </w:tr>
      <w:tr>
        <w:tc>
          <w:tcPr>
            <w:tcW w:w="1440" w:type="dxa"/>
            <w:shd w:val="clear" w:fill="FFFFFF"/>
            <w:tcMar>
              <w:top w:w="72" w:type="dxa"/>
              <w:left w:w="108" w:type="dxa"/>
              <w:bottom w:w="72" w:type="dxa"/>
              <w:right w:w="108" w:type="dxa"/>
            </w:tcMar>
            <w:vAlign w:val="top"/>
          </w:tcPr>
          <w:p>
            <w:pPr>
              <w:spacing w:before="0" w:after="0" w:line="252" w:lineRule="auto"/>
            </w:pPr>
            <w:r>
              <w:rPr>
                <w:rFonts w:ascii="Aptos" w:hAnsi="Aptos"/>
                <w:b/>
                <w:color w:val="0B0B0B"/>
                <w:sz w:val="18"/>
              </w:rPr>
              <w:t xml:space="preserve">Gives</w:t>
            </w:r>
          </w:p>
        </w:tc>
        <w:tc>
          <w:tcPr>
            <w:tcW w:w="1497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8"/>
              </w:rPr>
              <w:t xml:space="preserve">An approved change strategy. Nothing new is invented here; the case is an assembly.</w:t>
            </w:r>
          </w:p>
        </w:tc>
      </w:tr>
    </w:tbl>
    <w:p>
      <w:pPr>
        <w:spacing w:before="0" w:after="120" w:line="252" w:lineRule="auto"/>
      </w:pPr>
    </w:p>
    <w:p>
      <w:pPr>
        <w:spacing w:before="0" w:after="80" w:line="252" w:lineRule="auto"/>
      </w:pPr>
      <w:r>
        <w:rPr>
          <w:rFonts w:ascii="Aptos" w:hAnsi="Aptos"/>
          <w:b/>
          <w:color w:val="0B0B0B"/>
          <w:sz w:val="22"/>
        </w:rPr>
        <w:t xml:space="preserve">The case for option B</w:t>
      </w:r>
    </w:p>
    <w:tbl>
      <w:tblPr>
        <w:tblW w:w="0" w:type="auto"/>
        <w:tblBorders>
          <w:top w:val="single" w:sz="6" w:space="0" w:color="D9D8D0"/>
          <w:left w:val="single" w:sz="6" w:space="0" w:color="D9D8D0"/>
          <w:bottom w:val="single" w:sz="6" w:space="0" w:color="D9D8D0"/>
          <w:right w:val="single" w:sz="6" w:space="0" w:color="D9D8D0"/>
          <w:insideH w:val="single" w:sz="6" w:space="0" w:color="D9D8D0"/>
          <w:insideV w:val="single" w:sz="6" w:space="0" w:color="D9D8D0"/>
        </w:tblBorders>
        <w:tblLayout w:type="fixed"/>
      </w:tblPr>
      <w:tblGrid>
        <w:gridCol w:w="3326"/>
        <w:gridCol w:w="4896"/>
      </w:tblGrid>
      <w:tr>
        <w:trPr>
          <w:tblHeader/>
        </w:trPr>
        <w:tc>
          <w:tcPr>
            <w:tcW w:w="3326"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Block</w:t>
            </w:r>
          </w:p>
        </w:tc>
        <w:tc>
          <w:tcPr>
            <w:tcW w:w="4896"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Content</w:t>
            </w:r>
          </w:p>
        </w:tc>
      </w:tr>
      <w:tr>
        <w:tc>
          <w:tcPr>
            <w:tcW w:w="332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Need</w:t>
            </w:r>
          </w:p>
        </w:tc>
        <w:tc>
          <w:tcPr>
            <w:tcW w:w="48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15-day statutory obligation from 1 July
40 days today, 1.1% of it working time
$492,000 a year to serve</w:t>
            </w:r>
          </w:p>
        </w:tc>
      </w:tr>
      <w:tr>
        <w:tc>
          <w:tcPr>
            <w:tcW w:w="332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Options considered</w:t>
            </w:r>
          </w:p>
        </w:tc>
        <w:tc>
          <w:tcPr>
            <w:tcW w:w="48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A more assessors — negative NPV
C outsource — faster payback, loses capability
B rules engine and self-service — recommended
Do nothing — non-compliant</w:t>
            </w:r>
          </w:p>
        </w:tc>
      </w:tr>
      <w:tr>
        <w:tc>
          <w:tcPr>
            <w:tcW w:w="332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Value</w:t>
            </w:r>
          </w:p>
        </w:tc>
        <w:tc>
          <w:tcPr>
            <w:tcW w:w="48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$264,000 a year saved
$382,452 NPV over five years
Cost per permit $41 to $19</w:t>
            </w:r>
          </w:p>
        </w:tc>
      </w:tr>
      <w:tr>
        <w:tc>
          <w:tcPr>
            <w:tcW w:w="332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Risk</w:t>
            </w:r>
          </w:p>
        </w:tc>
        <w:tc>
          <w:tcPr>
            <w:tcW w:w="48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Expected monetary value $196,000
Largest: councils declining digital consent</w:t>
            </w:r>
          </w:p>
        </w:tc>
      </w:tr>
      <w:tr>
        <w:tc>
          <w:tcPr>
            <w:tcW w:w="332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Timing</w:t>
            </w:r>
          </w:p>
        </w:tc>
        <w:tc>
          <w:tcPr>
            <w:tcW w:w="48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Must be live before 1 July
Consent redesign is on the critical path</w:t>
            </w:r>
          </w:p>
        </w:tc>
      </w:tr>
      <w:tr>
        <w:tc>
          <w:tcPr>
            <w:tcW w:w="332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What success looks like</w:t>
            </w:r>
          </w:p>
        </w:tc>
        <w:tc>
          <w:tcPr>
            <w:tcW w:w="48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Routine permits decided in 15 days
Measured, not asserted — see step 16</w:t>
            </w:r>
          </w:p>
        </w:tc>
      </w:tr>
    </w:tbl>
    <w:p>
      <w:pPr>
        <w:spacing w:before="0" w:after="120" w:line="252" w:lineRule="auto"/>
      </w:pPr>
    </w:p>
    <w:p>
      <w:pPr>
        <w:spacing w:before="0" w:after="120" w:line="252" w:lineRule="auto"/>
      </w:pPr>
      <w:r>
        <w:rPr>
          <w:rFonts w:ascii="Aptos" w:hAnsi="Aptos"/>
          <w:color w:val="6B6A66"/>
          <w:sz w:val="18"/>
        </w:rPr>
        <w:t xml:space="preserve">Why this and not its neighbour: The business case is the container; financial analysis is one of its contents. An item that turns on how the return was calculated is financial analysis, while one that turns on whether the recommendation was justified at all is the business case.</w:t>
      </w:r>
    </w:p>
    <w:p>
      <w:pPr>
        <w:pBdr>
          <w:bottom w:val="single" w:sz="6" w:color="D9D8D0"/>
        </w:pBdr>
        <w:spacing w:before="280" w:after="40" w:line="252" w:lineRule="auto"/>
      </w:pPr>
      <w:r>
        <w:rPr>
          <w:rFonts w:ascii="Aptos" w:hAnsi="Aptos"/>
          <w:b/>
          <w:color w:val="0B0B0B"/>
          <w:sz w:val="28"/>
        </w:rPr>
        <w:t xml:space="preserve">STEP 11  ·  10.41 Scope Modelling</w:t>
      </w:r>
    </w:p>
    <w:p>
      <w:pPr>
        <w:spacing w:before="0" w:after="120" w:line="252" w:lineRule="auto"/>
      </w:pPr>
      <w:r>
        <w:rPr>
          <w:rFonts w:ascii="Aptos" w:hAnsi="Aptos"/>
          <w:i/>
          <w:color w:val="184F95"/>
          <w:sz w:val="22"/>
        </w:rPr>
        <w:t xml:space="preserve">What is in, what is out, and what will try to creep in?</w:t>
      </w:r>
    </w:p>
    <w:tbl>
      <w:tblPr>
        <w:tblW w:w="0" w:type="auto"/>
        <w:tblBorders>
          <w:top w:val="single" w:sz="6" w:space="0" w:color="D9D8D0"/>
          <w:left w:val="single" w:sz="6" w:space="0" w:color="D9D8D0"/>
          <w:bottom w:val="single" w:sz="6" w:space="0" w:color="D9D8D0"/>
          <w:right w:val="single" w:sz="6" w:space="0" w:color="D9D8D0"/>
          <w:insideH w:val="single" w:sz="6" w:space="0" w:color="D9D8D0"/>
          <w:insideV w:val="single" w:sz="6" w:space="0" w:color="D9D8D0"/>
        </w:tblBorders>
        <w:tblLayout w:type="fixed"/>
      </w:tblPr>
      <w:tblGrid>
        <w:gridCol w:w="1440"/>
        <w:gridCol w:w="14976"/>
      </w:tblGrid>
      <w:tr>
        <w:tc>
          <w:tcPr>
            <w:tcW w:w="1440" w:type="dxa"/>
            <w:shd w:val="clear" w:fill="F7F7F5"/>
            <w:tcMar>
              <w:top w:w="72" w:type="dxa"/>
              <w:left w:w="108" w:type="dxa"/>
              <w:bottom w:w="72" w:type="dxa"/>
              <w:right w:w="108" w:type="dxa"/>
            </w:tcMar>
            <w:vAlign w:val="top"/>
          </w:tcPr>
          <w:p>
            <w:pPr>
              <w:spacing w:before="0" w:after="0" w:line="252" w:lineRule="auto"/>
            </w:pPr>
            <w:r>
              <w:rPr>
                <w:rFonts w:ascii="Aptos" w:hAnsi="Aptos"/>
                <w:b/>
                <w:color w:val="0B0B0B"/>
                <w:sz w:val="18"/>
              </w:rPr>
              <w:t xml:space="preserve">Takes</w:t>
            </w:r>
          </w:p>
        </w:tc>
        <w:tc>
          <w:tcPr>
            <w:tcW w:w="1497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8"/>
              </w:rPr>
              <w:t xml:space="preserve">The approved change strategy.</w:t>
            </w:r>
          </w:p>
        </w:tc>
      </w:tr>
      <w:tr>
        <w:tc>
          <w:tcPr>
            <w:tcW w:w="1440" w:type="dxa"/>
            <w:shd w:val="clear" w:fill="FFFFFF"/>
            <w:tcMar>
              <w:top w:w="72" w:type="dxa"/>
              <w:left w:w="108" w:type="dxa"/>
              <w:bottom w:w="72" w:type="dxa"/>
              <w:right w:w="108" w:type="dxa"/>
            </w:tcMar>
            <w:vAlign w:val="top"/>
          </w:tcPr>
          <w:p>
            <w:pPr>
              <w:spacing w:before="0" w:after="0" w:line="252" w:lineRule="auto"/>
            </w:pPr>
            <w:r>
              <w:rPr>
                <w:rFonts w:ascii="Aptos" w:hAnsi="Aptos"/>
                <w:b/>
                <w:color w:val="0B0B0B"/>
                <w:sz w:val="18"/>
              </w:rPr>
              <w:t xml:space="preserve">Gives</w:t>
            </w:r>
          </w:p>
        </w:tc>
        <w:tc>
          <w:tcPr>
            <w:tcW w:w="1497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8"/>
              </w:rPr>
              <w:t xml:space="preserve">A boundary. The in-scope list becomes the top level of the decomposition, unchanged.</w:t>
            </w:r>
          </w:p>
        </w:tc>
      </w:tr>
    </w:tbl>
    <w:p>
      <w:pPr>
        <w:spacing w:before="0" w:after="120" w:line="252" w:lineRule="auto"/>
      </w:pPr>
    </w:p>
    <w:p>
      <w:pPr>
        <w:spacing w:before="0" w:after="80" w:line="252" w:lineRule="auto"/>
      </w:pPr>
      <w:r>
        <w:rPr>
          <w:rFonts w:ascii="Aptos" w:hAnsi="Aptos"/>
          <w:b/>
          <w:color w:val="0B0B0B"/>
          <w:sz w:val="22"/>
        </w:rPr>
        <w:t xml:space="preserve">Boundary for the permit service change</w:t>
      </w:r>
    </w:p>
    <w:tbl>
      <w:tblPr>
        <w:tblW w:w="0" w:type="auto"/>
        <w:tblBorders>
          <w:top w:val="single" w:sz="6" w:space="0" w:color="D9D8D0"/>
          <w:left w:val="single" w:sz="6" w:space="0" w:color="D9D8D0"/>
          <w:bottom w:val="single" w:sz="6" w:space="0" w:color="D9D8D0"/>
          <w:right w:val="single" w:sz="6" w:space="0" w:color="D9D8D0"/>
          <w:insideH w:val="single" w:sz="6" w:space="0" w:color="D9D8D0"/>
          <w:insideV w:val="single" w:sz="6" w:space="0" w:color="D9D8D0"/>
        </w:tblBorders>
        <w:tblLayout w:type="fixed"/>
      </w:tblPr>
      <w:tblGrid>
        <w:gridCol w:w="4666"/>
        <w:gridCol w:w="4896"/>
      </w:tblGrid>
      <w:tr>
        <w:trPr>
          <w:tblHeader/>
        </w:trPr>
        <w:tc>
          <w:tcPr>
            <w:tcW w:w="4666"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Block</w:t>
            </w:r>
          </w:p>
        </w:tc>
        <w:tc>
          <w:tcPr>
            <w:tcW w:w="4896"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Content</w:t>
            </w:r>
          </w:p>
        </w:tc>
      </w:tr>
      <w:tr>
        <w:tc>
          <w:tcPr>
            <w:tcW w:w="466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In scope</w:t>
            </w:r>
          </w:p>
        </w:tc>
        <w:tc>
          <w:tcPr>
            <w:tcW w:w="48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Application lodgement
Route assessment
Road manager consent
Permit issue and variation</w:t>
            </w:r>
          </w:p>
        </w:tc>
      </w:tr>
      <w:tr>
        <w:tc>
          <w:tcPr>
            <w:tcW w:w="466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Out of scope</w:t>
            </w:r>
          </w:p>
        </w:tc>
        <w:tc>
          <w:tcPr>
            <w:tcW w:w="48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Enforcement and infringements
Bridge asset management
Operator accreditation
Fee setting</w:t>
            </w:r>
          </w:p>
        </w:tc>
      </w:tr>
      <w:tr>
        <w:tc>
          <w:tcPr>
            <w:tcW w:w="466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Adjacent — decide before it drifts</w:t>
            </w:r>
          </w:p>
        </w:tc>
        <w:tc>
          <w:tcPr>
            <w:tcW w:w="48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Restriction data mastering
Council consent portal
Registry identity</w:t>
            </w:r>
          </w:p>
        </w:tc>
      </w:tr>
    </w:tbl>
    <w:p>
      <w:pPr>
        <w:spacing w:before="0" w:after="120" w:line="252" w:lineRule="auto"/>
      </w:pPr>
    </w:p>
    <w:p>
      <w:pPr>
        <w:spacing w:before="0" w:after="80" w:line="252" w:lineRule="auto"/>
      </w:pPr>
      <w:r>
        <w:rPr>
          <w:rFonts w:ascii="Aptos" w:hAnsi="Aptos"/>
          <w:i/>
          <w:color w:val="6B6A66"/>
          <w:sz w:val="18"/>
        </w:rPr>
        <w:t xml:space="preserve">Restriction data is adjacent and unavoidable: the root cause sits in it. Naming it here forces the decision rather than absorbing it silently.</w:t>
      </w:r>
    </w:p>
    <w:p>
      <w:pPr>
        <w:spacing w:before="0" w:after="120" w:line="252" w:lineRule="auto"/>
      </w:pPr>
      <w:r>
        <w:rPr>
          <w:rFonts w:ascii="Aptos" w:hAnsi="Aptos"/>
          <w:color w:val="6B6A66"/>
          <w:sz w:val="18"/>
        </w:rPr>
        <w:t xml:space="preserve">Why this and not its neighbour: Scope modelling sets the boundary; interface analysis specifies what crosses it; functional decomposition breaks down what is inside. Boundary disputes are scope.</w:t>
      </w:r>
    </w:p>
    <w:p>
      <w:pPr>
        <w:pBdr>
          <w:bottom w:val="single" w:sz="6" w:color="D9D8D0"/>
        </w:pBdr>
        <w:spacing w:before="280" w:after="40" w:line="252" w:lineRule="auto"/>
      </w:pPr>
      <w:r>
        <w:rPr>
          <w:rFonts w:ascii="Aptos" w:hAnsi="Aptos"/>
          <w:b/>
          <w:color w:val="0B0B0B"/>
          <w:sz w:val="28"/>
        </w:rPr>
        <w:t xml:space="preserve">STEP 12  ·  10.22 Functional Decomposition</w:t>
      </w:r>
    </w:p>
    <w:p>
      <w:pPr>
        <w:spacing w:before="0" w:after="120" w:line="252" w:lineRule="auto"/>
      </w:pPr>
      <w:r>
        <w:rPr>
          <w:rFonts w:ascii="Aptos" w:hAnsi="Aptos"/>
          <w:i/>
          <w:color w:val="184F95"/>
          <w:sz w:val="22"/>
        </w:rPr>
        <w:t xml:space="preserve">What does the in-scope work break into?</w:t>
      </w:r>
    </w:p>
    <w:tbl>
      <w:tblPr>
        <w:tblW w:w="0" w:type="auto"/>
        <w:tblBorders>
          <w:top w:val="single" w:sz="6" w:space="0" w:color="D9D8D0"/>
          <w:left w:val="single" w:sz="6" w:space="0" w:color="D9D8D0"/>
          <w:bottom w:val="single" w:sz="6" w:space="0" w:color="D9D8D0"/>
          <w:right w:val="single" w:sz="6" w:space="0" w:color="D9D8D0"/>
          <w:insideH w:val="single" w:sz="6" w:space="0" w:color="D9D8D0"/>
          <w:insideV w:val="single" w:sz="6" w:space="0" w:color="D9D8D0"/>
        </w:tblBorders>
        <w:tblLayout w:type="fixed"/>
      </w:tblPr>
      <w:tblGrid>
        <w:gridCol w:w="1440"/>
        <w:gridCol w:w="14976"/>
      </w:tblGrid>
      <w:tr>
        <w:tc>
          <w:tcPr>
            <w:tcW w:w="1440" w:type="dxa"/>
            <w:shd w:val="clear" w:fill="F7F7F5"/>
            <w:tcMar>
              <w:top w:w="72" w:type="dxa"/>
              <w:left w:w="108" w:type="dxa"/>
              <w:bottom w:w="72" w:type="dxa"/>
              <w:right w:w="108" w:type="dxa"/>
            </w:tcMar>
            <w:vAlign w:val="top"/>
          </w:tcPr>
          <w:p>
            <w:pPr>
              <w:spacing w:before="0" w:after="0" w:line="252" w:lineRule="auto"/>
            </w:pPr>
            <w:r>
              <w:rPr>
                <w:rFonts w:ascii="Aptos" w:hAnsi="Aptos"/>
                <w:b/>
                <w:color w:val="0B0B0B"/>
                <w:sz w:val="18"/>
              </w:rPr>
              <w:t xml:space="preserve">Takes</w:t>
            </w:r>
          </w:p>
        </w:tc>
        <w:tc>
          <w:tcPr>
            <w:tcW w:w="1497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8"/>
              </w:rPr>
              <w:t xml:space="preserve">The four in-scope items, as the top level.</w:t>
            </w:r>
          </w:p>
        </w:tc>
      </w:tr>
      <w:tr>
        <w:tc>
          <w:tcPr>
            <w:tcW w:w="1440" w:type="dxa"/>
            <w:shd w:val="clear" w:fill="FFFFFF"/>
            <w:tcMar>
              <w:top w:w="72" w:type="dxa"/>
              <w:left w:w="108" w:type="dxa"/>
              <w:bottom w:w="72" w:type="dxa"/>
              <w:right w:w="108" w:type="dxa"/>
            </w:tcMar>
            <w:vAlign w:val="top"/>
          </w:tcPr>
          <w:p>
            <w:pPr>
              <w:spacing w:before="0" w:after="0" w:line="252" w:lineRule="auto"/>
            </w:pPr>
            <w:r>
              <w:rPr>
                <w:rFonts w:ascii="Aptos" w:hAnsi="Aptos"/>
                <w:b/>
                <w:color w:val="0B0B0B"/>
                <w:sz w:val="18"/>
              </w:rPr>
              <w:t xml:space="preserve">Gives</w:t>
            </w:r>
          </w:p>
        </w:tc>
        <w:tc>
          <w:tcPr>
            <w:tcW w:w="1497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8"/>
              </w:rPr>
              <w:t xml:space="preserve">Functions small enough to specify. 'Assess route' is where the rules and the data live.</w:t>
            </w:r>
          </w:p>
        </w:tc>
      </w:tr>
    </w:tbl>
    <w:p>
      <w:pPr>
        <w:spacing w:before="0" w:after="120" w:line="252" w:lineRule="auto"/>
      </w:pPr>
    </w:p>
    <w:p>
      <w:pPr>
        <w:spacing w:before="0" w:after="80" w:line="252" w:lineRule="auto"/>
      </w:pPr>
      <w:r>
        <w:rPr>
          <w:rFonts w:ascii="Aptos" w:hAnsi="Aptos"/>
          <w:b/>
          <w:color w:val="0B0B0B"/>
          <w:sz w:val="22"/>
        </w:rPr>
        <w:t xml:space="preserve">The permit service, broken down far enough to specify</w:t>
      </w:r>
    </w:p>
    <w:tbl>
      <w:tblPr>
        <w:tblW w:w="0" w:type="auto"/>
        <w:tblBorders>
          <w:top w:val="single" w:sz="6" w:space="0" w:color="D9D8D0"/>
          <w:left w:val="single" w:sz="6" w:space="0" w:color="D9D8D0"/>
          <w:bottom w:val="single" w:sz="6" w:space="0" w:color="D9D8D0"/>
          <w:right w:val="single" w:sz="6" w:space="0" w:color="D9D8D0"/>
          <w:insideH w:val="single" w:sz="6" w:space="0" w:color="D9D8D0"/>
          <w:insideV w:val="single" w:sz="6" w:space="0" w:color="D9D8D0"/>
        </w:tblBorders>
        <w:tblLayout w:type="fixed"/>
      </w:tblPr>
      <w:tblGrid>
        <w:gridCol w:w="1973"/>
        <w:gridCol w:w="4896"/>
        <w:gridCol w:w="1296"/>
      </w:tblGrid>
      <w:tr>
        <w:trPr>
          <w:tblHeader/>
        </w:trPr>
        <w:tc>
          <w:tcPr>
            <w:tcW w:w="1973"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Level</w:t>
            </w:r>
          </w:p>
        </w:tc>
        <w:tc>
          <w:tcPr>
            <w:tcW w:w="4896"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Item</w:t>
            </w:r>
          </w:p>
        </w:tc>
        <w:tc>
          <w:tcPr>
            <w:tcW w:w="1296"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Note</w:t>
            </w:r>
          </w:p>
        </w:tc>
      </w:tr>
      <w:tr>
        <w:tc>
          <w:tcPr>
            <w:tcW w:w="1973"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Service</w:t>
            </w:r>
          </w:p>
        </w:tc>
        <w:tc>
          <w:tcPr>
            <w:tcW w:w="48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Issue a heavy vehicle access permit</w:t>
            </w:r>
          </w:p>
        </w:tc>
        <w:tc>
          <w:tcPr>
            <w:tcW w:w="1296" w:type="dxa"/>
            <w:shd w:val="clear" w:fill="FFFFFF"/>
            <w:tcMar>
              <w:top w:w="72" w:type="dxa"/>
              <w:left w:w="108" w:type="dxa"/>
              <w:bottom w:w="72" w:type="dxa"/>
              <w:right w:w="108" w:type="dxa"/>
            </w:tcMar>
            <w:vAlign w:val="top"/>
          </w:tcPr>
          <w:p>
            <w:pPr>
              <w:spacing w:before="0" w:after="0" w:line="252" w:lineRule="auto"/>
            </w:pPr>
          </w:p>
        </w:tc>
      </w:tr>
      <w:tr>
        <w:tc>
          <w:tcPr>
            <w:tcW w:w="1973"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Function</w:t>
            </w:r>
          </w:p>
        </w:tc>
        <w:tc>
          <w:tcPr>
            <w:tcW w:w="48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    Lodge application</w:t>
            </w:r>
          </w:p>
        </w:tc>
        <w:tc>
          <w:tcPr>
            <w:tcW w:w="1296" w:type="dxa"/>
            <w:shd w:val="clear" w:fill="F7F7F5"/>
            <w:tcMar>
              <w:top w:w="72" w:type="dxa"/>
              <w:left w:w="108" w:type="dxa"/>
              <w:bottom w:w="72" w:type="dxa"/>
              <w:right w:w="108" w:type="dxa"/>
            </w:tcMar>
            <w:vAlign w:val="top"/>
          </w:tcPr>
          <w:p>
            <w:pPr>
              <w:spacing w:before="0" w:after="0" w:line="252" w:lineRule="auto"/>
            </w:pPr>
          </w:p>
        </w:tc>
      </w:tr>
      <w:tr>
        <w:tc>
          <w:tcPr>
            <w:tcW w:w="1973"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Sub-function</w:t>
            </w:r>
          </w:p>
        </w:tc>
        <w:tc>
          <w:tcPr>
            <w:tcW w:w="48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        Capture vehicle configuration</w:t>
            </w:r>
          </w:p>
        </w:tc>
        <w:tc>
          <w:tcPr>
            <w:tcW w:w="1296" w:type="dxa"/>
            <w:shd w:val="clear" w:fill="FFFFFF"/>
            <w:tcMar>
              <w:top w:w="72" w:type="dxa"/>
              <w:left w:w="108" w:type="dxa"/>
              <w:bottom w:w="72" w:type="dxa"/>
              <w:right w:w="108" w:type="dxa"/>
            </w:tcMar>
            <w:vAlign w:val="top"/>
          </w:tcPr>
          <w:p>
            <w:pPr>
              <w:spacing w:before="0" w:after="0" w:line="252" w:lineRule="auto"/>
            </w:pPr>
          </w:p>
        </w:tc>
      </w:tr>
      <w:tr>
        <w:tc>
          <w:tcPr>
            <w:tcW w:w="1973"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Sub-function</w:t>
            </w:r>
          </w:p>
        </w:tc>
        <w:tc>
          <w:tcPr>
            <w:tcW w:w="48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        Capture proposed route</w:t>
            </w:r>
          </w:p>
        </w:tc>
        <w:tc>
          <w:tcPr>
            <w:tcW w:w="1296" w:type="dxa"/>
            <w:shd w:val="clear" w:fill="F7F7F5"/>
            <w:tcMar>
              <w:top w:w="72" w:type="dxa"/>
              <w:left w:w="108" w:type="dxa"/>
              <w:bottom w:w="72" w:type="dxa"/>
              <w:right w:w="108" w:type="dxa"/>
            </w:tcMar>
            <w:vAlign w:val="top"/>
          </w:tcPr>
          <w:p>
            <w:pPr>
              <w:spacing w:before="0" w:after="0" w:line="252" w:lineRule="auto"/>
            </w:pPr>
          </w:p>
        </w:tc>
      </w:tr>
      <w:tr>
        <w:tc>
          <w:tcPr>
            <w:tcW w:w="1973"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Function</w:t>
            </w:r>
          </w:p>
        </w:tc>
        <w:tc>
          <w:tcPr>
            <w:tcW w:w="48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    Assess route</w:t>
            </w:r>
          </w:p>
        </w:tc>
        <w:tc>
          <w:tcPr>
            <w:tcW w:w="1296" w:type="dxa"/>
            <w:shd w:val="clear" w:fill="FFFFFF"/>
            <w:tcMar>
              <w:top w:w="72" w:type="dxa"/>
              <w:left w:w="108" w:type="dxa"/>
              <w:bottom w:w="72" w:type="dxa"/>
              <w:right w:w="108" w:type="dxa"/>
            </w:tcMar>
            <w:vAlign w:val="top"/>
          </w:tcPr>
          <w:p>
            <w:pPr>
              <w:spacing w:before="0" w:after="0" w:line="252" w:lineRule="auto"/>
            </w:pPr>
          </w:p>
        </w:tc>
      </w:tr>
      <w:tr>
        <w:tc>
          <w:tcPr>
            <w:tcW w:w="1973"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Sub-function</w:t>
            </w:r>
          </w:p>
        </w:tc>
        <w:tc>
          <w:tcPr>
            <w:tcW w:w="48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        Check mass and bridge limits</w:t>
            </w:r>
          </w:p>
        </w:tc>
        <w:tc>
          <w:tcPr>
            <w:tcW w:w="1296" w:type="dxa"/>
            <w:shd w:val="clear" w:fill="F7F7F5"/>
            <w:tcMar>
              <w:top w:w="72" w:type="dxa"/>
              <w:left w:w="108" w:type="dxa"/>
              <w:bottom w:w="72" w:type="dxa"/>
              <w:right w:w="108" w:type="dxa"/>
            </w:tcMar>
            <w:vAlign w:val="top"/>
          </w:tcPr>
          <w:p>
            <w:pPr>
              <w:spacing w:before="0" w:after="0" w:line="252" w:lineRule="auto"/>
            </w:pPr>
          </w:p>
        </w:tc>
      </w:tr>
      <w:tr>
        <w:tc>
          <w:tcPr>
            <w:tcW w:w="1973"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Sub-function</w:t>
            </w:r>
          </w:p>
        </w:tc>
        <w:tc>
          <w:tcPr>
            <w:tcW w:w="48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        Check seasonal restrictions</w:t>
            </w:r>
          </w:p>
        </w:tc>
        <w:tc>
          <w:tcPr>
            <w:tcW w:w="1296" w:type="dxa"/>
            <w:shd w:val="clear" w:fill="FFFFFF"/>
            <w:tcMar>
              <w:top w:w="72" w:type="dxa"/>
              <w:left w:w="108" w:type="dxa"/>
              <w:bottom w:w="72" w:type="dxa"/>
              <w:right w:w="108" w:type="dxa"/>
            </w:tcMar>
            <w:vAlign w:val="top"/>
          </w:tcPr>
          <w:p>
            <w:pPr>
              <w:spacing w:before="0" w:after="0" w:line="252" w:lineRule="auto"/>
            </w:pPr>
          </w:p>
        </w:tc>
      </w:tr>
      <w:tr>
        <w:tc>
          <w:tcPr>
            <w:tcW w:w="1973"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Sub-function</w:t>
            </w:r>
          </w:p>
        </w:tc>
        <w:tc>
          <w:tcPr>
            <w:tcW w:w="48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        Determine affected road managers</w:t>
            </w:r>
          </w:p>
        </w:tc>
        <w:tc>
          <w:tcPr>
            <w:tcW w:w="1296" w:type="dxa"/>
            <w:shd w:val="clear" w:fill="F7F7F5"/>
            <w:tcMar>
              <w:top w:w="72" w:type="dxa"/>
              <w:left w:w="108" w:type="dxa"/>
              <w:bottom w:w="72" w:type="dxa"/>
              <w:right w:w="108" w:type="dxa"/>
            </w:tcMar>
            <w:vAlign w:val="top"/>
          </w:tcPr>
          <w:p>
            <w:pPr>
              <w:spacing w:before="0" w:after="0" w:line="252" w:lineRule="auto"/>
            </w:pPr>
          </w:p>
        </w:tc>
      </w:tr>
      <w:tr>
        <w:tc>
          <w:tcPr>
            <w:tcW w:w="1973"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Function</w:t>
            </w:r>
          </w:p>
        </w:tc>
        <w:tc>
          <w:tcPr>
            <w:tcW w:w="48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    Obtain consent</w:t>
            </w:r>
          </w:p>
        </w:tc>
        <w:tc>
          <w:tcPr>
            <w:tcW w:w="1296" w:type="dxa"/>
            <w:shd w:val="clear" w:fill="FFFFFF"/>
            <w:tcMar>
              <w:top w:w="72" w:type="dxa"/>
              <w:left w:w="108" w:type="dxa"/>
              <w:bottom w:w="72" w:type="dxa"/>
              <w:right w:w="108" w:type="dxa"/>
            </w:tcMar>
            <w:vAlign w:val="top"/>
          </w:tcPr>
          <w:p>
            <w:pPr>
              <w:spacing w:before="0" w:after="0" w:line="252" w:lineRule="auto"/>
            </w:pPr>
          </w:p>
        </w:tc>
      </w:tr>
      <w:tr>
        <w:tc>
          <w:tcPr>
            <w:tcW w:w="1973"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Sub-function</w:t>
            </w:r>
          </w:p>
        </w:tc>
        <w:tc>
          <w:tcPr>
            <w:tcW w:w="48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        Request consent</w:t>
            </w:r>
          </w:p>
        </w:tc>
        <w:tc>
          <w:tcPr>
            <w:tcW w:w="1296" w:type="dxa"/>
            <w:shd w:val="clear" w:fill="F7F7F5"/>
            <w:tcMar>
              <w:top w:w="72" w:type="dxa"/>
              <w:left w:w="108" w:type="dxa"/>
              <w:bottom w:w="72" w:type="dxa"/>
              <w:right w:w="108" w:type="dxa"/>
            </w:tcMar>
            <w:vAlign w:val="top"/>
          </w:tcPr>
          <w:p>
            <w:pPr>
              <w:spacing w:before="0" w:after="0" w:line="252" w:lineRule="auto"/>
            </w:pPr>
          </w:p>
        </w:tc>
      </w:tr>
      <w:tr>
        <w:tc>
          <w:tcPr>
            <w:tcW w:w="1973"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Sub-function</w:t>
            </w:r>
          </w:p>
        </w:tc>
        <w:tc>
          <w:tcPr>
            <w:tcW w:w="48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        Track and escalate</w:t>
            </w:r>
          </w:p>
        </w:tc>
        <w:tc>
          <w:tcPr>
            <w:tcW w:w="1296" w:type="dxa"/>
            <w:shd w:val="clear" w:fill="FFFFFF"/>
            <w:tcMar>
              <w:top w:w="72" w:type="dxa"/>
              <w:left w:w="108" w:type="dxa"/>
              <w:bottom w:w="72" w:type="dxa"/>
              <w:right w:w="108" w:type="dxa"/>
            </w:tcMar>
            <w:vAlign w:val="top"/>
          </w:tcPr>
          <w:p>
            <w:pPr>
              <w:spacing w:before="0" w:after="0" w:line="252" w:lineRule="auto"/>
            </w:pPr>
          </w:p>
        </w:tc>
      </w:tr>
      <w:tr>
        <w:tc>
          <w:tcPr>
            <w:tcW w:w="1973"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Function</w:t>
            </w:r>
          </w:p>
        </w:tc>
        <w:tc>
          <w:tcPr>
            <w:tcW w:w="48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    Issue and vary</w:t>
            </w:r>
          </w:p>
        </w:tc>
        <w:tc>
          <w:tcPr>
            <w:tcW w:w="1296" w:type="dxa"/>
            <w:shd w:val="clear" w:fill="F7F7F5"/>
            <w:tcMar>
              <w:top w:w="72" w:type="dxa"/>
              <w:left w:w="108" w:type="dxa"/>
              <w:bottom w:w="72" w:type="dxa"/>
              <w:right w:w="108" w:type="dxa"/>
            </w:tcMar>
            <w:vAlign w:val="top"/>
          </w:tcPr>
          <w:p>
            <w:pPr>
              <w:spacing w:before="0" w:after="0" w:line="252" w:lineRule="auto"/>
            </w:pPr>
          </w:p>
        </w:tc>
      </w:tr>
      <w:tr>
        <w:tc>
          <w:tcPr>
            <w:tcW w:w="1973"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Sub-function</w:t>
            </w:r>
          </w:p>
        </w:tc>
        <w:tc>
          <w:tcPr>
            <w:tcW w:w="48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        Issue permit</w:t>
            </w:r>
          </w:p>
        </w:tc>
        <w:tc>
          <w:tcPr>
            <w:tcW w:w="1296" w:type="dxa"/>
            <w:shd w:val="clear" w:fill="FFFFFF"/>
            <w:tcMar>
              <w:top w:w="72" w:type="dxa"/>
              <w:left w:w="108" w:type="dxa"/>
              <w:bottom w:w="72" w:type="dxa"/>
              <w:right w:w="108" w:type="dxa"/>
            </w:tcMar>
            <w:vAlign w:val="top"/>
          </w:tcPr>
          <w:p>
            <w:pPr>
              <w:spacing w:before="0" w:after="0" w:line="252" w:lineRule="auto"/>
            </w:pPr>
          </w:p>
        </w:tc>
      </w:tr>
      <w:tr>
        <w:tc>
          <w:tcPr>
            <w:tcW w:w="1973"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Sub-function</w:t>
            </w:r>
          </w:p>
        </w:tc>
        <w:tc>
          <w:tcPr>
            <w:tcW w:w="48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        Vary or revoke</w:t>
            </w:r>
          </w:p>
        </w:tc>
        <w:tc>
          <w:tcPr>
            <w:tcW w:w="1296" w:type="dxa"/>
            <w:shd w:val="clear" w:fill="F7F7F5"/>
            <w:tcMar>
              <w:top w:w="72" w:type="dxa"/>
              <w:left w:w="108" w:type="dxa"/>
              <w:bottom w:w="72" w:type="dxa"/>
              <w:right w:w="108" w:type="dxa"/>
            </w:tcMar>
            <w:vAlign w:val="top"/>
          </w:tcPr>
          <w:p>
            <w:pPr>
              <w:spacing w:before="0" w:after="0" w:line="252" w:lineRule="auto"/>
            </w:pPr>
          </w:p>
        </w:tc>
      </w:tr>
    </w:tbl>
    <w:p>
      <w:pPr>
        <w:spacing w:before="0" w:after="120" w:line="252" w:lineRule="auto"/>
      </w:pPr>
    </w:p>
    <w:p>
      <w:pPr>
        <w:spacing w:before="0" w:after="120" w:line="252" w:lineRule="auto"/>
      </w:pPr>
      <w:r>
        <w:rPr>
          <w:rFonts w:ascii="Aptos" w:hAnsi="Aptos"/>
          <w:color w:val="6B6A66"/>
          <w:sz w:val="18"/>
        </w:rPr>
        <w:t xml:space="preserve">Why this and not its neighbour: Decomposition breaks work down for analysis; a work breakdown structure schedules delivery. Producing one to satisfy a project manager is the classic doing-project-management trap.</w:t>
      </w:r>
    </w:p>
    <w:p>
      <w:pPr>
        <w:pBdr>
          <w:bottom w:val="single" w:sz="6" w:color="D9D8D0"/>
        </w:pBdr>
        <w:spacing w:before="280" w:after="40" w:line="252" w:lineRule="auto"/>
      </w:pPr>
      <w:r>
        <w:rPr>
          <w:rFonts w:ascii="Aptos" w:hAnsi="Aptos"/>
          <w:b/>
          <w:color w:val="0B0B0B"/>
          <w:sz w:val="28"/>
        </w:rPr>
        <w:t xml:space="preserve">STEP 13  ·  10.9 Business Rules Analysis</w:t>
      </w:r>
    </w:p>
    <w:p>
      <w:pPr>
        <w:spacing w:before="0" w:after="120" w:line="252" w:lineRule="auto"/>
      </w:pPr>
      <w:r>
        <w:rPr>
          <w:rFonts w:ascii="Aptos" w:hAnsi="Aptos"/>
          <w:i/>
          <w:color w:val="184F95"/>
          <w:sz w:val="22"/>
        </w:rPr>
        <w:t xml:space="preserve">What governs an assessment, and how often will it change?</w:t>
      </w:r>
    </w:p>
    <w:tbl>
      <w:tblPr>
        <w:tblW w:w="0" w:type="auto"/>
        <w:tblBorders>
          <w:top w:val="single" w:sz="6" w:space="0" w:color="D9D8D0"/>
          <w:left w:val="single" w:sz="6" w:space="0" w:color="D9D8D0"/>
          <w:bottom w:val="single" w:sz="6" w:space="0" w:color="D9D8D0"/>
          <w:right w:val="single" w:sz="6" w:space="0" w:color="D9D8D0"/>
          <w:insideH w:val="single" w:sz="6" w:space="0" w:color="D9D8D0"/>
          <w:insideV w:val="single" w:sz="6" w:space="0" w:color="D9D8D0"/>
        </w:tblBorders>
        <w:tblLayout w:type="fixed"/>
      </w:tblPr>
      <w:tblGrid>
        <w:gridCol w:w="1440"/>
        <w:gridCol w:w="14976"/>
      </w:tblGrid>
      <w:tr>
        <w:tc>
          <w:tcPr>
            <w:tcW w:w="1440" w:type="dxa"/>
            <w:shd w:val="clear" w:fill="F7F7F5"/>
            <w:tcMar>
              <w:top w:w="72" w:type="dxa"/>
              <w:left w:w="108" w:type="dxa"/>
              <w:bottom w:w="72" w:type="dxa"/>
              <w:right w:w="108" w:type="dxa"/>
            </w:tcMar>
            <w:vAlign w:val="top"/>
          </w:tcPr>
          <w:p>
            <w:pPr>
              <w:spacing w:before="0" w:after="0" w:line="252" w:lineRule="auto"/>
            </w:pPr>
            <w:r>
              <w:rPr>
                <w:rFonts w:ascii="Aptos" w:hAnsi="Aptos"/>
                <w:b/>
                <w:color w:val="0B0B0B"/>
                <w:sz w:val="18"/>
              </w:rPr>
              <w:t xml:space="preserve">Takes</w:t>
            </w:r>
          </w:p>
        </w:tc>
        <w:tc>
          <w:tcPr>
            <w:tcW w:w="1497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8"/>
              </w:rPr>
              <w:t xml:space="preserve">The 'Assess route' function.</w:t>
            </w:r>
          </w:p>
        </w:tc>
      </w:tr>
      <w:tr>
        <w:tc>
          <w:tcPr>
            <w:tcW w:w="1440" w:type="dxa"/>
            <w:shd w:val="clear" w:fill="FFFFFF"/>
            <w:tcMar>
              <w:top w:w="72" w:type="dxa"/>
              <w:left w:w="108" w:type="dxa"/>
              <w:bottom w:w="72" w:type="dxa"/>
              <w:right w:w="108" w:type="dxa"/>
            </w:tcMar>
            <w:vAlign w:val="top"/>
          </w:tcPr>
          <w:p>
            <w:pPr>
              <w:spacing w:before="0" w:after="0" w:line="252" w:lineRule="auto"/>
            </w:pPr>
            <w:r>
              <w:rPr>
                <w:rFonts w:ascii="Aptos" w:hAnsi="Aptos"/>
                <w:b/>
                <w:color w:val="0B0B0B"/>
                <w:sz w:val="18"/>
              </w:rPr>
              <w:t xml:space="preserve">Gives</w:t>
            </w:r>
          </w:p>
        </w:tc>
        <w:tc>
          <w:tcPr>
            <w:tcW w:w="1497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8"/>
              </w:rPr>
              <w:t xml:space="preserve">Rules held apart from the process. Each names the data elements it needs, which sets the dictionary.</w:t>
            </w:r>
          </w:p>
        </w:tc>
      </w:tr>
    </w:tbl>
    <w:p>
      <w:pPr>
        <w:spacing w:before="0" w:after="120" w:line="252" w:lineRule="auto"/>
      </w:pPr>
    </w:p>
    <w:p>
      <w:pPr>
        <w:spacing w:before="0" w:after="80" w:line="252" w:lineRule="auto"/>
      </w:pPr>
      <w:r>
        <w:rPr>
          <w:rFonts w:ascii="Aptos" w:hAnsi="Aptos"/>
          <w:b/>
          <w:color w:val="0B0B0B"/>
          <w:sz w:val="22"/>
        </w:rPr>
        <w:t xml:space="preserve">Assessment rules, governed separately from the workflow</w:t>
      </w:r>
    </w:p>
    <w:tbl>
      <w:tblPr>
        <w:tblW w:w="0" w:type="auto"/>
        <w:tblBorders>
          <w:top w:val="single" w:sz="6" w:space="0" w:color="D9D8D0"/>
          <w:left w:val="single" w:sz="6" w:space="0" w:color="D9D8D0"/>
          <w:bottom w:val="single" w:sz="6" w:space="0" w:color="D9D8D0"/>
          <w:right w:val="single" w:sz="6" w:space="0" w:color="D9D8D0"/>
          <w:insideH w:val="single" w:sz="6" w:space="0" w:color="D9D8D0"/>
          <w:insideV w:val="single" w:sz="6" w:space="0" w:color="D9D8D0"/>
        </w:tblBorders>
        <w:tblLayout w:type="fixed"/>
      </w:tblPr>
      <w:tblGrid>
        <w:gridCol w:w="1296"/>
        <w:gridCol w:w="4896"/>
        <w:gridCol w:w="4421"/>
        <w:gridCol w:w="2707"/>
      </w:tblGrid>
      <w:tr>
        <w:trPr>
          <w:tblHeader/>
        </w:trPr>
        <w:tc>
          <w:tcPr>
            <w:tcW w:w="1296"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Rule</w:t>
            </w:r>
          </w:p>
        </w:tc>
        <w:tc>
          <w:tcPr>
            <w:tcW w:w="4896"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Statement</w:t>
            </w:r>
          </w:p>
        </w:tc>
        <w:tc>
          <w:tcPr>
            <w:tcW w:w="4421"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Data it needs</w:t>
            </w:r>
          </w:p>
        </w:tc>
        <w:tc>
          <w:tcPr>
            <w:tcW w:w="2707"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Owner</w:t>
            </w:r>
          </w:p>
        </w:tc>
      </w:tr>
      <w:tr>
        <w:tc>
          <w:tcPr>
            <w:tcW w:w="12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ASR-01</w:t>
            </w:r>
          </w:p>
        </w:tc>
        <w:tc>
          <w:tcPr>
            <w:tcW w:w="48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A route crossing a bridge below the vehicle's gross mass is refused.</w:t>
            </w:r>
          </w:p>
        </w:tc>
        <w:tc>
          <w:tcPr>
            <w:tcW w:w="4421"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bridge_capacity_t, gross_mass_t</w:t>
            </w:r>
          </w:p>
        </w:tc>
        <w:tc>
          <w:tcPr>
            <w:tcW w:w="2707"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Bridge engineering</w:t>
            </w:r>
          </w:p>
        </w:tc>
      </w:tr>
      <w:tr>
        <w:tc>
          <w:tcPr>
            <w:tcW w:w="12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ASR-02</w:t>
            </w:r>
          </w:p>
        </w:tc>
        <w:tc>
          <w:tcPr>
            <w:tcW w:w="48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A route under a seasonal restriction is refused for the restricted dates.</w:t>
            </w:r>
          </w:p>
        </w:tc>
        <w:tc>
          <w:tcPr>
            <w:tcW w:w="4421"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restriction_from, restriction_to</w:t>
            </w:r>
          </w:p>
        </w:tc>
        <w:tc>
          <w:tcPr>
            <w:tcW w:w="2707"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Road managers</w:t>
            </w:r>
          </w:p>
        </w:tc>
      </w:tr>
      <w:tr>
        <w:tc>
          <w:tcPr>
            <w:tcW w:w="12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ASR-03</w:t>
            </w:r>
          </w:p>
        </w:tc>
        <w:tc>
          <w:tcPr>
            <w:tcW w:w="48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An application matching a refusal within 12 months goes to panel.</w:t>
            </w:r>
          </w:p>
        </w:tc>
        <w:tc>
          <w:tcPr>
            <w:tcW w:w="4421"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prior_refusal_date</w:t>
            </w:r>
          </w:p>
        </w:tc>
        <w:tc>
          <w:tcPr>
            <w:tcW w:w="2707"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Policy</w:t>
            </w:r>
          </w:p>
        </w:tc>
      </w:tr>
      <w:tr>
        <w:tc>
          <w:tcPr>
            <w:tcW w:w="12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ASR-04</w:t>
            </w:r>
          </w:p>
        </w:tc>
        <w:tc>
          <w:tcPr>
            <w:tcW w:w="48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Consent is required from every road manager on the route.</w:t>
            </w:r>
          </w:p>
        </w:tc>
        <w:tc>
          <w:tcPr>
            <w:tcW w:w="4421"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road_manager_id</w:t>
            </w:r>
          </w:p>
        </w:tc>
        <w:tc>
          <w:tcPr>
            <w:tcW w:w="2707"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Policy</w:t>
            </w:r>
          </w:p>
        </w:tc>
      </w:tr>
    </w:tbl>
    <w:p>
      <w:pPr>
        <w:spacing w:before="0" w:after="120" w:line="252" w:lineRule="auto"/>
      </w:pPr>
    </w:p>
    <w:p>
      <w:pPr>
        <w:spacing w:before="0" w:after="80" w:line="252" w:lineRule="auto"/>
      </w:pPr>
      <w:r>
        <w:rPr>
          <w:rFonts w:ascii="Aptos" w:hAnsi="Aptos"/>
          <w:i/>
          <w:color w:val="6B6A66"/>
          <w:sz w:val="18"/>
        </w:rPr>
        <w:t xml:space="preserve">The scheme rules changed twice last year. Held in workflow code each change is a release; held here each change is a rule version.</w:t>
      </w:r>
    </w:p>
    <w:p>
      <w:pPr>
        <w:spacing w:before="0" w:after="120" w:line="252" w:lineRule="auto"/>
      </w:pPr>
      <w:r>
        <w:rPr>
          <w:rFonts w:ascii="Aptos" w:hAnsi="Aptos"/>
          <w:color w:val="6B6A66"/>
          <w:sz w:val="18"/>
        </w:rPr>
        <w:t xml:space="preserve">Why this and not its neighbour: A rule is a constraint on behaviour; a requirement is something the solution must do. Items where a policy is being restated as a system function are testing whether you keep the rule separate from the process that invokes it.</w:t>
      </w:r>
    </w:p>
    <w:p>
      <w:pPr>
        <w:pBdr>
          <w:bottom w:val="single" w:sz="6" w:color="D9D8D0"/>
        </w:pBdr>
        <w:spacing w:before="280" w:after="40" w:line="252" w:lineRule="auto"/>
      </w:pPr>
      <w:r>
        <w:rPr>
          <w:rFonts w:ascii="Aptos" w:hAnsi="Aptos"/>
          <w:b/>
          <w:color w:val="0B0B0B"/>
          <w:sz w:val="28"/>
        </w:rPr>
        <w:t xml:space="preserve">STEP 14  ·  10.12 Data Dictionary</w:t>
      </w:r>
    </w:p>
    <w:p>
      <w:pPr>
        <w:spacing w:before="0" w:after="120" w:line="252" w:lineRule="auto"/>
      </w:pPr>
      <w:r>
        <w:rPr>
          <w:rFonts w:ascii="Aptos" w:hAnsi="Aptos"/>
          <w:i/>
          <w:color w:val="184F95"/>
          <w:sz w:val="22"/>
        </w:rPr>
        <w:t xml:space="preserve">What exactly are the elements those rules depend on?</w:t>
      </w:r>
    </w:p>
    <w:tbl>
      <w:tblPr>
        <w:tblW w:w="0" w:type="auto"/>
        <w:tblBorders>
          <w:top w:val="single" w:sz="6" w:space="0" w:color="D9D8D0"/>
          <w:left w:val="single" w:sz="6" w:space="0" w:color="D9D8D0"/>
          <w:bottom w:val="single" w:sz="6" w:space="0" w:color="D9D8D0"/>
          <w:right w:val="single" w:sz="6" w:space="0" w:color="D9D8D0"/>
          <w:insideH w:val="single" w:sz="6" w:space="0" w:color="D9D8D0"/>
          <w:insideV w:val="single" w:sz="6" w:space="0" w:color="D9D8D0"/>
        </w:tblBorders>
        <w:tblLayout w:type="fixed"/>
      </w:tblPr>
      <w:tblGrid>
        <w:gridCol w:w="1440"/>
        <w:gridCol w:w="14976"/>
      </w:tblGrid>
      <w:tr>
        <w:tc>
          <w:tcPr>
            <w:tcW w:w="1440" w:type="dxa"/>
            <w:shd w:val="clear" w:fill="F7F7F5"/>
            <w:tcMar>
              <w:top w:w="72" w:type="dxa"/>
              <w:left w:w="108" w:type="dxa"/>
              <w:bottom w:w="72" w:type="dxa"/>
              <w:right w:w="108" w:type="dxa"/>
            </w:tcMar>
            <w:vAlign w:val="top"/>
          </w:tcPr>
          <w:p>
            <w:pPr>
              <w:spacing w:before="0" w:after="0" w:line="252" w:lineRule="auto"/>
            </w:pPr>
            <w:r>
              <w:rPr>
                <w:rFonts w:ascii="Aptos" w:hAnsi="Aptos"/>
                <w:b/>
                <w:color w:val="0B0B0B"/>
                <w:sz w:val="18"/>
              </w:rPr>
              <w:t xml:space="preserve">Takes</w:t>
            </w:r>
          </w:p>
        </w:tc>
        <w:tc>
          <w:tcPr>
            <w:tcW w:w="1497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8"/>
              </w:rPr>
              <w:t xml:space="preserve">The data column of the rules table.</w:t>
            </w:r>
          </w:p>
        </w:tc>
      </w:tr>
      <w:tr>
        <w:tc>
          <w:tcPr>
            <w:tcW w:w="1440" w:type="dxa"/>
            <w:shd w:val="clear" w:fill="FFFFFF"/>
            <w:tcMar>
              <w:top w:w="72" w:type="dxa"/>
              <w:left w:w="108" w:type="dxa"/>
              <w:bottom w:w="72" w:type="dxa"/>
              <w:right w:w="108" w:type="dxa"/>
            </w:tcMar>
            <w:vAlign w:val="top"/>
          </w:tcPr>
          <w:p>
            <w:pPr>
              <w:spacing w:before="0" w:after="0" w:line="252" w:lineRule="auto"/>
            </w:pPr>
            <w:r>
              <w:rPr>
                <w:rFonts w:ascii="Aptos" w:hAnsi="Aptos"/>
                <w:b/>
                <w:color w:val="0B0B0B"/>
                <w:sz w:val="18"/>
              </w:rPr>
              <w:t xml:space="preserve">Gives</w:t>
            </w:r>
          </w:p>
        </w:tc>
        <w:tc>
          <w:tcPr>
            <w:tcW w:w="1497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8"/>
              </w:rPr>
              <w:t xml:space="preserve">Element definitions precise enough to build and to migrate.</w:t>
            </w:r>
          </w:p>
        </w:tc>
      </w:tr>
    </w:tbl>
    <w:p>
      <w:pPr>
        <w:spacing w:before="0" w:after="120" w:line="252" w:lineRule="auto"/>
      </w:pPr>
    </w:p>
    <w:p>
      <w:pPr>
        <w:spacing w:before="0" w:after="80" w:line="252" w:lineRule="auto"/>
      </w:pPr>
      <w:r>
        <w:rPr>
          <w:rFonts w:ascii="Aptos" w:hAnsi="Aptos"/>
          <w:b/>
          <w:color w:val="0B0B0B"/>
          <w:sz w:val="22"/>
        </w:rPr>
        <w:t xml:space="preserve">Elements the assessment rules depend on</w:t>
      </w:r>
    </w:p>
    <w:tbl>
      <w:tblPr>
        <w:tblW w:w="0" w:type="auto"/>
        <w:tblBorders>
          <w:top w:val="single" w:sz="6" w:space="0" w:color="D9D8D0"/>
          <w:left w:val="single" w:sz="6" w:space="0" w:color="D9D8D0"/>
          <w:bottom w:val="single" w:sz="6" w:space="0" w:color="D9D8D0"/>
          <w:right w:val="single" w:sz="6" w:space="0" w:color="D9D8D0"/>
          <w:insideH w:val="single" w:sz="6" w:space="0" w:color="D9D8D0"/>
          <w:insideV w:val="single" w:sz="6" w:space="0" w:color="D9D8D0"/>
        </w:tblBorders>
        <w:tblLayout w:type="fixed"/>
      </w:tblPr>
      <w:tblGrid>
        <w:gridCol w:w="2707"/>
        <w:gridCol w:w="4896"/>
        <w:gridCol w:w="1598"/>
        <w:gridCol w:w="2707"/>
        <w:gridCol w:w="1598"/>
      </w:tblGrid>
      <w:tr>
        <w:trPr>
          <w:tblHeader/>
        </w:trPr>
        <w:tc>
          <w:tcPr>
            <w:tcW w:w="2707"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Element</w:t>
            </w:r>
          </w:p>
        </w:tc>
        <w:tc>
          <w:tcPr>
            <w:tcW w:w="4896"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Meaning</w:t>
            </w:r>
          </w:p>
        </w:tc>
        <w:tc>
          <w:tcPr>
            <w:tcW w:w="1598"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Type</w:t>
            </w:r>
          </w:p>
        </w:tc>
        <w:tc>
          <w:tcPr>
            <w:tcW w:w="2707"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Permitted</w:t>
            </w:r>
          </w:p>
        </w:tc>
        <w:tc>
          <w:tcPr>
            <w:tcW w:w="1598"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Mandatory</w:t>
            </w:r>
          </w:p>
        </w:tc>
      </w:tr>
      <w:tr>
        <w:tc>
          <w:tcPr>
            <w:tcW w:w="2707"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gross_mass_t</w:t>
            </w:r>
          </w:p>
        </w:tc>
        <w:tc>
          <w:tcPr>
            <w:tcW w:w="48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Total mass of vehicle and load</w:t>
            </w:r>
          </w:p>
        </w:tc>
        <w:tc>
          <w:tcPr>
            <w:tcW w:w="1598"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Decimal</w:t>
            </w:r>
          </w:p>
        </w:tc>
        <w:tc>
          <w:tcPr>
            <w:tcW w:w="2707"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&gt; 0, one decimal</w:t>
            </w:r>
          </w:p>
        </w:tc>
        <w:tc>
          <w:tcPr>
            <w:tcW w:w="1598"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Yes</w:t>
            </w:r>
          </w:p>
        </w:tc>
      </w:tr>
      <w:tr>
        <w:tc>
          <w:tcPr>
            <w:tcW w:w="2707"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bridge_capacity_t</w:t>
            </w:r>
          </w:p>
        </w:tc>
        <w:tc>
          <w:tcPr>
            <w:tcW w:w="48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Rated capacity of a structure on the route</w:t>
            </w:r>
          </w:p>
        </w:tc>
        <w:tc>
          <w:tcPr>
            <w:tcW w:w="1598"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Decimal</w:t>
            </w:r>
          </w:p>
        </w:tc>
        <w:tc>
          <w:tcPr>
            <w:tcW w:w="2707"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&gt; 0, one decimal</w:t>
            </w:r>
          </w:p>
        </w:tc>
        <w:tc>
          <w:tcPr>
            <w:tcW w:w="1598"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Yes</w:t>
            </w:r>
          </w:p>
        </w:tc>
      </w:tr>
      <w:tr>
        <w:tc>
          <w:tcPr>
            <w:tcW w:w="2707"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restriction_from</w:t>
            </w:r>
          </w:p>
        </w:tc>
        <w:tc>
          <w:tcPr>
            <w:tcW w:w="48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First day a seasonal restriction applies</w:t>
            </w:r>
          </w:p>
        </w:tc>
        <w:tc>
          <w:tcPr>
            <w:tcW w:w="1598"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Date</w:t>
            </w:r>
          </w:p>
        </w:tc>
        <w:tc>
          <w:tcPr>
            <w:tcW w:w="2707"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Not before today</w:t>
            </w:r>
          </w:p>
        </w:tc>
        <w:tc>
          <w:tcPr>
            <w:tcW w:w="1598"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No</w:t>
            </w:r>
          </w:p>
        </w:tc>
      </w:tr>
      <w:tr>
        <w:tc>
          <w:tcPr>
            <w:tcW w:w="2707"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restriction_to</w:t>
            </w:r>
          </w:p>
        </w:tc>
        <w:tc>
          <w:tcPr>
            <w:tcW w:w="48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Last day it applies</w:t>
            </w:r>
          </w:p>
        </w:tc>
        <w:tc>
          <w:tcPr>
            <w:tcW w:w="1598"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Date</w:t>
            </w:r>
          </w:p>
        </w:tc>
        <w:tc>
          <w:tcPr>
            <w:tcW w:w="2707"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 restriction_from</w:t>
            </w:r>
          </w:p>
        </w:tc>
        <w:tc>
          <w:tcPr>
            <w:tcW w:w="1598"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No</w:t>
            </w:r>
          </w:p>
        </w:tc>
      </w:tr>
      <w:tr>
        <w:tc>
          <w:tcPr>
            <w:tcW w:w="2707"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road_manager_id</w:t>
            </w:r>
          </w:p>
        </w:tc>
        <w:tc>
          <w:tcPr>
            <w:tcW w:w="48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The council or authority controlling a road segment</w:t>
            </w:r>
          </w:p>
        </w:tc>
        <w:tc>
          <w:tcPr>
            <w:tcW w:w="1598"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Reference</w:t>
            </w:r>
          </w:p>
        </w:tc>
        <w:tc>
          <w:tcPr>
            <w:tcW w:w="2707"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One of 11</w:t>
            </w:r>
          </w:p>
        </w:tc>
        <w:tc>
          <w:tcPr>
            <w:tcW w:w="1598"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Yes</w:t>
            </w:r>
          </w:p>
        </w:tc>
      </w:tr>
      <w:tr>
        <w:tc>
          <w:tcPr>
            <w:tcW w:w="2707"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prior_refusal_date</w:t>
            </w:r>
          </w:p>
        </w:tc>
        <w:tc>
          <w:tcPr>
            <w:tcW w:w="48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Date of the most recent refusal for this operator and route</w:t>
            </w:r>
          </w:p>
        </w:tc>
        <w:tc>
          <w:tcPr>
            <w:tcW w:w="1598"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Date</w:t>
            </w:r>
          </w:p>
        </w:tc>
        <w:tc>
          <w:tcPr>
            <w:tcW w:w="2707"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Not future-dated</w:t>
            </w:r>
          </w:p>
        </w:tc>
        <w:tc>
          <w:tcPr>
            <w:tcW w:w="1598"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No</w:t>
            </w:r>
          </w:p>
        </w:tc>
      </w:tr>
    </w:tbl>
    <w:p>
      <w:pPr>
        <w:spacing w:before="0" w:after="120" w:line="252" w:lineRule="auto"/>
      </w:pPr>
    </w:p>
    <w:p>
      <w:pPr>
        <w:spacing w:before="0" w:after="80" w:line="252" w:lineRule="auto"/>
      </w:pPr>
      <w:r>
        <w:rPr>
          <w:rFonts w:ascii="Aptos" w:hAnsi="Aptos"/>
          <w:i/>
          <w:color w:val="6B6A66"/>
          <w:sz w:val="18"/>
        </w:rPr>
        <w:t xml:space="preserve">restriction_from and restriction_to are the elements the observed shortcut skipped. Defining them is what moves the check from memory to data.</w:t>
      </w:r>
    </w:p>
    <w:p>
      <w:pPr>
        <w:spacing w:before="0" w:after="120" w:line="252" w:lineRule="auto"/>
      </w:pPr>
      <w:r>
        <w:rPr>
          <w:rFonts w:ascii="Aptos" w:hAnsi="Aptos"/>
          <w:color w:val="6B6A66"/>
          <w:sz w:val="18"/>
        </w:rPr>
        <w:t xml:space="preserve">Why this and not its neighbour: A data dictionary defines elements; a glossary defines business terms. If the disputed word is a business concept rather than a stored field, the answer is glossary.</w:t>
      </w:r>
    </w:p>
    <w:p>
      <w:pPr>
        <w:pBdr>
          <w:bottom w:val="single" w:sz="6" w:color="D9D8D0"/>
        </w:pBdr>
        <w:spacing w:before="280" w:after="40" w:line="252" w:lineRule="auto"/>
      </w:pPr>
      <w:r>
        <w:rPr>
          <w:rFonts w:ascii="Aptos" w:hAnsi="Aptos"/>
          <w:b/>
          <w:color w:val="0B0B0B"/>
          <w:sz w:val="28"/>
        </w:rPr>
        <w:t xml:space="preserve">STEP 15  ·  10.44 State Modelling</w:t>
      </w:r>
    </w:p>
    <w:p>
      <w:pPr>
        <w:spacing w:before="0" w:after="120" w:line="252" w:lineRule="auto"/>
      </w:pPr>
      <w:r>
        <w:rPr>
          <w:rFonts w:ascii="Aptos" w:hAnsi="Aptos"/>
          <w:i/>
          <w:color w:val="184F95"/>
          <w:sz w:val="22"/>
        </w:rPr>
        <w:t xml:space="preserve">What may a permit become, and from where?</w:t>
      </w:r>
    </w:p>
    <w:tbl>
      <w:tblPr>
        <w:tblW w:w="0" w:type="auto"/>
        <w:tblBorders>
          <w:top w:val="single" w:sz="6" w:space="0" w:color="D9D8D0"/>
          <w:left w:val="single" w:sz="6" w:space="0" w:color="D9D8D0"/>
          <w:bottom w:val="single" w:sz="6" w:space="0" w:color="D9D8D0"/>
          <w:right w:val="single" w:sz="6" w:space="0" w:color="D9D8D0"/>
          <w:insideH w:val="single" w:sz="6" w:space="0" w:color="D9D8D0"/>
          <w:insideV w:val="single" w:sz="6" w:space="0" w:color="D9D8D0"/>
        </w:tblBorders>
        <w:tblLayout w:type="fixed"/>
      </w:tblPr>
      <w:tblGrid>
        <w:gridCol w:w="1440"/>
        <w:gridCol w:w="14976"/>
      </w:tblGrid>
      <w:tr>
        <w:tc>
          <w:tcPr>
            <w:tcW w:w="1440" w:type="dxa"/>
            <w:shd w:val="clear" w:fill="F7F7F5"/>
            <w:tcMar>
              <w:top w:w="72" w:type="dxa"/>
              <w:left w:w="108" w:type="dxa"/>
              <w:bottom w:w="72" w:type="dxa"/>
              <w:right w:w="108" w:type="dxa"/>
            </w:tcMar>
            <w:vAlign w:val="top"/>
          </w:tcPr>
          <w:p>
            <w:pPr>
              <w:spacing w:before="0" w:after="0" w:line="252" w:lineRule="auto"/>
            </w:pPr>
            <w:r>
              <w:rPr>
                <w:rFonts w:ascii="Aptos" w:hAnsi="Aptos"/>
                <w:b/>
                <w:color w:val="0B0B0B"/>
                <w:sz w:val="18"/>
              </w:rPr>
              <w:t xml:space="preserve">Takes</w:t>
            </w:r>
          </w:p>
        </w:tc>
        <w:tc>
          <w:tcPr>
            <w:tcW w:w="1497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8"/>
              </w:rPr>
              <w:t xml:space="preserve">The process stages and the refusal rule.</w:t>
            </w:r>
          </w:p>
        </w:tc>
      </w:tr>
      <w:tr>
        <w:tc>
          <w:tcPr>
            <w:tcW w:w="1440" w:type="dxa"/>
            <w:shd w:val="clear" w:fill="FFFFFF"/>
            <w:tcMar>
              <w:top w:w="72" w:type="dxa"/>
              <w:left w:w="108" w:type="dxa"/>
              <w:bottom w:w="72" w:type="dxa"/>
              <w:right w:w="108" w:type="dxa"/>
            </w:tcMar>
            <w:vAlign w:val="top"/>
          </w:tcPr>
          <w:p>
            <w:pPr>
              <w:spacing w:before="0" w:after="0" w:line="252" w:lineRule="auto"/>
            </w:pPr>
            <w:r>
              <w:rPr>
                <w:rFonts w:ascii="Aptos" w:hAnsi="Aptos"/>
                <w:b/>
                <w:color w:val="0B0B0B"/>
                <w:sz w:val="18"/>
              </w:rPr>
              <w:t xml:space="preserve">Gives</w:t>
            </w:r>
          </w:p>
        </w:tc>
        <w:tc>
          <w:tcPr>
            <w:tcW w:w="1497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8"/>
              </w:rPr>
              <w:t xml:space="preserve">Permitted transitions, including two that must be forbidden.</w:t>
            </w:r>
          </w:p>
        </w:tc>
      </w:tr>
    </w:tbl>
    <w:p>
      <w:pPr>
        <w:spacing w:before="0" w:after="120" w:line="252" w:lineRule="auto"/>
      </w:pPr>
    </w:p>
    <w:p>
      <w:pPr>
        <w:spacing w:before="0" w:after="80" w:line="252" w:lineRule="auto"/>
      </w:pPr>
      <w:r>
        <w:rPr>
          <w:rFonts w:ascii="Aptos" w:hAnsi="Aptos"/>
          <w:b/>
          <w:color w:val="0B0B0B"/>
          <w:sz w:val="22"/>
        </w:rPr>
        <w:t xml:space="preserve">Permit lifecycle</w:t>
      </w:r>
    </w:p>
    <w:tbl>
      <w:tblPr>
        <w:tblW w:w="0" w:type="auto"/>
        <w:tblBorders>
          <w:top w:val="single" w:sz="6" w:space="0" w:color="D9D8D0"/>
          <w:left w:val="single" w:sz="6" w:space="0" w:color="D9D8D0"/>
          <w:bottom w:val="single" w:sz="6" w:space="0" w:color="D9D8D0"/>
          <w:right w:val="single" w:sz="6" w:space="0" w:color="D9D8D0"/>
          <w:insideH w:val="single" w:sz="6" w:space="0" w:color="D9D8D0"/>
          <w:insideV w:val="single" w:sz="6" w:space="0" w:color="D9D8D0"/>
        </w:tblBorders>
        <w:tblLayout w:type="fixed"/>
      </w:tblPr>
      <w:tblGrid>
        <w:gridCol w:w="2347"/>
        <w:gridCol w:w="3816"/>
        <w:gridCol w:w="2347"/>
        <w:gridCol w:w="2218"/>
      </w:tblGrid>
      <w:tr>
        <w:trPr>
          <w:tblHeader/>
        </w:trPr>
        <w:tc>
          <w:tcPr>
            <w:tcW w:w="2347"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From</w:t>
            </w:r>
          </w:p>
        </w:tc>
        <w:tc>
          <w:tcPr>
            <w:tcW w:w="3816"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Event</w:t>
            </w:r>
          </w:p>
        </w:tc>
        <w:tc>
          <w:tcPr>
            <w:tcW w:w="2347"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To</w:t>
            </w:r>
          </w:p>
        </w:tc>
        <w:tc>
          <w:tcPr>
            <w:tcW w:w="2218"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Permitted</w:t>
            </w:r>
          </w:p>
        </w:tc>
      </w:tr>
      <w:tr>
        <w:tc>
          <w:tcPr>
            <w:tcW w:w="2347"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Lodged</w:t>
            </w:r>
          </w:p>
        </w:tc>
        <w:tc>
          <w:tcPr>
            <w:tcW w:w="381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assessed</w:t>
            </w:r>
          </w:p>
        </w:tc>
        <w:tc>
          <w:tcPr>
            <w:tcW w:w="2347"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Assessed</w:t>
            </w:r>
          </w:p>
        </w:tc>
        <w:tc>
          <w:tcPr>
            <w:tcW w:w="2218"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yes</w:t>
            </w:r>
          </w:p>
        </w:tc>
      </w:tr>
      <w:tr>
        <w:tc>
          <w:tcPr>
            <w:tcW w:w="2347"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Assessed</w:t>
            </w:r>
          </w:p>
        </w:tc>
        <w:tc>
          <w:tcPr>
            <w:tcW w:w="381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consent sought</w:t>
            </w:r>
          </w:p>
        </w:tc>
        <w:tc>
          <w:tcPr>
            <w:tcW w:w="2347"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Consent pending</w:t>
            </w:r>
          </w:p>
        </w:tc>
        <w:tc>
          <w:tcPr>
            <w:tcW w:w="2218"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yes</w:t>
            </w:r>
          </w:p>
        </w:tc>
      </w:tr>
      <w:tr>
        <w:tc>
          <w:tcPr>
            <w:tcW w:w="2347"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Consent pending</w:t>
            </w:r>
          </w:p>
        </w:tc>
        <w:tc>
          <w:tcPr>
            <w:tcW w:w="381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all consents in</w:t>
            </w:r>
          </w:p>
        </w:tc>
        <w:tc>
          <w:tcPr>
            <w:tcW w:w="2347"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Issued</w:t>
            </w:r>
          </w:p>
        </w:tc>
        <w:tc>
          <w:tcPr>
            <w:tcW w:w="2218"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yes</w:t>
            </w:r>
          </w:p>
        </w:tc>
      </w:tr>
      <w:tr>
        <w:tc>
          <w:tcPr>
            <w:tcW w:w="2347"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Assessed</w:t>
            </w:r>
          </w:p>
        </w:tc>
        <w:tc>
          <w:tcPr>
            <w:tcW w:w="381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refused</w:t>
            </w:r>
          </w:p>
        </w:tc>
        <w:tc>
          <w:tcPr>
            <w:tcW w:w="2347"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Refused</w:t>
            </w:r>
          </w:p>
        </w:tc>
        <w:tc>
          <w:tcPr>
            <w:tcW w:w="2218"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yes</w:t>
            </w:r>
          </w:p>
        </w:tc>
      </w:tr>
      <w:tr>
        <w:tc>
          <w:tcPr>
            <w:tcW w:w="2347"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Issued</w:t>
            </w:r>
          </w:p>
        </w:tc>
        <w:tc>
          <w:tcPr>
            <w:tcW w:w="381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revoked</w:t>
            </w:r>
          </w:p>
        </w:tc>
        <w:tc>
          <w:tcPr>
            <w:tcW w:w="2347"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Revoked</w:t>
            </w:r>
          </w:p>
        </w:tc>
        <w:tc>
          <w:tcPr>
            <w:tcW w:w="2218"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yes</w:t>
            </w:r>
          </w:p>
        </w:tc>
      </w:tr>
      <w:tr>
        <w:tc>
          <w:tcPr>
            <w:tcW w:w="2347"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Consent pending</w:t>
            </w:r>
          </w:p>
        </w:tc>
        <w:tc>
          <w:tcPr>
            <w:tcW w:w="381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objection, reassess</w:t>
            </w:r>
          </w:p>
        </w:tc>
        <w:tc>
          <w:tcPr>
            <w:tcW w:w="2347"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Assessed</w:t>
            </w:r>
          </w:p>
        </w:tc>
        <w:tc>
          <w:tcPr>
            <w:tcW w:w="2218"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yes</w:t>
            </w:r>
          </w:p>
        </w:tc>
      </w:tr>
      <w:tr>
        <w:tc>
          <w:tcPr>
            <w:tcW w:w="2347"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Refused</w:t>
            </w:r>
          </w:p>
        </w:tc>
        <w:tc>
          <w:tcPr>
            <w:tcW w:w="381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issued after refusal</w:t>
            </w:r>
          </w:p>
        </w:tc>
        <w:tc>
          <w:tcPr>
            <w:tcW w:w="2347"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Issued</w:t>
            </w:r>
          </w:p>
        </w:tc>
        <w:tc>
          <w:tcPr>
            <w:tcW w:w="2218"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NO — forbidden</w:t>
            </w:r>
          </w:p>
        </w:tc>
      </w:tr>
      <w:tr>
        <w:tc>
          <w:tcPr>
            <w:tcW w:w="2347"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Revoked</w:t>
            </w:r>
          </w:p>
        </w:tc>
        <w:tc>
          <w:tcPr>
            <w:tcW w:w="381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reinstated after revocation</w:t>
            </w:r>
          </w:p>
        </w:tc>
        <w:tc>
          <w:tcPr>
            <w:tcW w:w="2347"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Issued</w:t>
            </w:r>
          </w:p>
        </w:tc>
        <w:tc>
          <w:tcPr>
            <w:tcW w:w="2218"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NO — forbidden</w:t>
            </w:r>
          </w:p>
        </w:tc>
      </w:tr>
    </w:tbl>
    <w:p>
      <w:pPr>
        <w:spacing w:before="0" w:after="120" w:line="252" w:lineRule="auto"/>
      </w:pPr>
    </w:p>
    <w:p>
      <w:pPr>
        <w:spacing w:before="0" w:after="80" w:line="252" w:lineRule="auto"/>
      </w:pPr>
      <w:r>
        <w:rPr>
          <w:rFonts w:ascii="Aptos" w:hAnsi="Aptos"/>
          <w:i/>
          <w:color w:val="6B6A66"/>
          <w:sz w:val="18"/>
        </w:rPr>
        <w:t xml:space="preserve">The objection loop back to Assessed is the one the process model showed restarting the clock. It is legal, and it is the thing the 15-day obligation cannot absorb twice.  Terminal states: Refused, Revoked.</w:t>
      </w:r>
    </w:p>
    <w:p>
      <w:pPr>
        <w:spacing w:before="0" w:after="120" w:line="252" w:lineRule="auto"/>
      </w:pPr>
      <w:r>
        <w:rPr>
          <w:rFonts w:ascii="Aptos" w:hAnsi="Aptos"/>
          <w:color w:val="6B6A66"/>
          <w:sz w:val="18"/>
        </w:rPr>
        <w:t xml:space="preserve">Why this and not its neighbour: State modelling tracks what an object may become; process modelling tracks what people do. If the stem is full of statuses such as lodged, assessed, withdrawn, it is state.</w:t>
      </w:r>
    </w:p>
    <w:p>
      <w:pPr>
        <w:pBdr>
          <w:bottom w:val="single" w:sz="6" w:color="D9D8D0"/>
        </w:pBdr>
        <w:spacing w:before="280" w:after="40" w:line="252" w:lineRule="auto"/>
      </w:pPr>
      <w:r>
        <w:rPr>
          <w:rFonts w:ascii="Aptos" w:hAnsi="Aptos"/>
          <w:b/>
          <w:color w:val="0B0B0B"/>
          <w:sz w:val="28"/>
        </w:rPr>
        <w:t xml:space="preserve">STEP 16  ·  10.28 Metrics and Key Performance Indicators</w:t>
      </w:r>
    </w:p>
    <w:p>
      <w:pPr>
        <w:spacing w:before="0" w:after="120" w:line="252" w:lineRule="auto"/>
      </w:pPr>
      <w:r>
        <w:rPr>
          <w:rFonts w:ascii="Aptos" w:hAnsi="Aptos"/>
          <w:i/>
          <w:color w:val="184F95"/>
          <w:sz w:val="22"/>
        </w:rPr>
        <w:t xml:space="preserve">How will anyone know whether it worked?</w:t>
      </w:r>
    </w:p>
    <w:tbl>
      <w:tblPr>
        <w:tblW w:w="0" w:type="auto"/>
        <w:tblBorders>
          <w:top w:val="single" w:sz="6" w:space="0" w:color="D9D8D0"/>
          <w:left w:val="single" w:sz="6" w:space="0" w:color="D9D8D0"/>
          <w:bottom w:val="single" w:sz="6" w:space="0" w:color="D9D8D0"/>
          <w:right w:val="single" w:sz="6" w:space="0" w:color="D9D8D0"/>
          <w:insideH w:val="single" w:sz="6" w:space="0" w:color="D9D8D0"/>
          <w:insideV w:val="single" w:sz="6" w:space="0" w:color="D9D8D0"/>
        </w:tblBorders>
        <w:tblLayout w:type="fixed"/>
      </w:tblPr>
      <w:tblGrid>
        <w:gridCol w:w="1440"/>
        <w:gridCol w:w="14976"/>
      </w:tblGrid>
      <w:tr>
        <w:tc>
          <w:tcPr>
            <w:tcW w:w="1440" w:type="dxa"/>
            <w:shd w:val="clear" w:fill="F7F7F5"/>
            <w:tcMar>
              <w:top w:w="72" w:type="dxa"/>
              <w:left w:w="108" w:type="dxa"/>
              <w:bottom w:w="72" w:type="dxa"/>
              <w:right w:w="108" w:type="dxa"/>
            </w:tcMar>
            <w:vAlign w:val="top"/>
          </w:tcPr>
          <w:p>
            <w:pPr>
              <w:spacing w:before="0" w:after="0" w:line="252" w:lineRule="auto"/>
            </w:pPr>
            <w:r>
              <w:rPr>
                <w:rFonts w:ascii="Aptos" w:hAnsi="Aptos"/>
                <w:b/>
                <w:color w:val="0B0B0B"/>
                <w:sz w:val="18"/>
              </w:rPr>
              <w:t xml:space="preserve">Takes</w:t>
            </w:r>
          </w:p>
        </w:tc>
        <w:tc>
          <w:tcPr>
            <w:tcW w:w="1497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8"/>
              </w:rPr>
              <w:t xml:space="preserve">The benefits claimed in the business case, and the states just defined.</w:t>
            </w:r>
          </w:p>
        </w:tc>
      </w:tr>
      <w:tr>
        <w:tc>
          <w:tcPr>
            <w:tcW w:w="1440" w:type="dxa"/>
            <w:shd w:val="clear" w:fill="FFFFFF"/>
            <w:tcMar>
              <w:top w:w="72" w:type="dxa"/>
              <w:left w:w="108" w:type="dxa"/>
              <w:bottom w:w="72" w:type="dxa"/>
              <w:right w:w="108" w:type="dxa"/>
            </w:tcMar>
            <w:vAlign w:val="top"/>
          </w:tcPr>
          <w:p>
            <w:pPr>
              <w:spacing w:before="0" w:after="0" w:line="252" w:lineRule="auto"/>
            </w:pPr>
            <w:r>
              <w:rPr>
                <w:rFonts w:ascii="Aptos" w:hAnsi="Aptos"/>
                <w:b/>
                <w:color w:val="0B0B0B"/>
                <w:sz w:val="18"/>
              </w:rPr>
              <w:t xml:space="preserve">Gives</w:t>
            </w:r>
          </w:p>
        </w:tc>
        <w:tc>
          <w:tcPr>
            <w:tcW w:w="1497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8"/>
              </w:rPr>
              <w:t xml:space="preserve">Measures with targets and the threshold at which someone must act. This is what closes the loop back to step 5.</w:t>
            </w:r>
          </w:p>
        </w:tc>
      </w:tr>
    </w:tbl>
    <w:p>
      <w:pPr>
        <w:spacing w:before="0" w:after="120" w:line="252" w:lineRule="auto"/>
      </w:pPr>
    </w:p>
    <w:p>
      <w:pPr>
        <w:spacing w:before="0" w:after="80" w:line="252" w:lineRule="auto"/>
      </w:pPr>
      <w:r>
        <w:rPr>
          <w:rFonts w:ascii="Aptos" w:hAnsi="Aptos"/>
          <w:b/>
          <w:color w:val="0B0B0B"/>
          <w:sz w:val="22"/>
        </w:rPr>
        <w:t xml:space="preserve">From the obligation down to the indicator someone acts on</w:t>
      </w:r>
    </w:p>
    <w:tbl>
      <w:tblPr>
        <w:tblW w:w="0" w:type="auto"/>
        <w:tblBorders>
          <w:top w:val="single" w:sz="6" w:space="0" w:color="D9D8D0"/>
          <w:left w:val="single" w:sz="6" w:space="0" w:color="D9D8D0"/>
          <w:bottom w:val="single" w:sz="6" w:space="0" w:color="D9D8D0"/>
          <w:right w:val="single" w:sz="6" w:space="0" w:color="D9D8D0"/>
          <w:insideH w:val="single" w:sz="6" w:space="0" w:color="D9D8D0"/>
          <w:insideV w:val="single" w:sz="6" w:space="0" w:color="D9D8D0"/>
        </w:tblBorders>
        <w:tblLayout w:type="fixed"/>
      </w:tblPr>
      <w:tblGrid>
        <w:gridCol w:w="1598"/>
        <w:gridCol w:w="4896"/>
        <w:gridCol w:w="1368"/>
      </w:tblGrid>
      <w:tr>
        <w:trPr>
          <w:tblHeader/>
        </w:trPr>
        <w:tc>
          <w:tcPr>
            <w:tcW w:w="1598"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Level</w:t>
            </w:r>
          </w:p>
        </w:tc>
        <w:tc>
          <w:tcPr>
            <w:tcW w:w="4896"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Item</w:t>
            </w:r>
          </w:p>
        </w:tc>
        <w:tc>
          <w:tcPr>
            <w:tcW w:w="1368"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7"/>
              </w:rPr>
              <w:t xml:space="preserve">Note</w:t>
            </w:r>
          </w:p>
        </w:tc>
      </w:tr>
      <w:tr>
        <w:tc>
          <w:tcPr>
            <w:tcW w:w="1598"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Objective</w:t>
            </w:r>
          </w:p>
        </w:tc>
        <w:tc>
          <w:tcPr>
            <w:tcW w:w="48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Decide routine permits within 15 days at $19 a permit</w:t>
            </w:r>
          </w:p>
        </w:tc>
        <w:tc>
          <w:tcPr>
            <w:tcW w:w="1368" w:type="dxa"/>
            <w:shd w:val="clear" w:fill="FFFFFF"/>
            <w:tcMar>
              <w:top w:w="72" w:type="dxa"/>
              <w:left w:w="108" w:type="dxa"/>
              <w:bottom w:w="72" w:type="dxa"/>
              <w:right w:w="108" w:type="dxa"/>
            </w:tcMar>
            <w:vAlign w:val="top"/>
          </w:tcPr>
          <w:p>
            <w:pPr>
              <w:spacing w:before="0" w:after="0" w:line="252" w:lineRule="auto"/>
            </w:pPr>
          </w:p>
        </w:tc>
      </w:tr>
      <w:tr>
        <w:tc>
          <w:tcPr>
            <w:tcW w:w="1598"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Strategy</w:t>
            </w:r>
          </w:p>
        </w:tc>
        <w:tc>
          <w:tcPr>
            <w:tcW w:w="48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    Remove the queue in assessment</w:t>
            </w:r>
          </w:p>
        </w:tc>
        <w:tc>
          <w:tcPr>
            <w:tcW w:w="1368" w:type="dxa"/>
            <w:shd w:val="clear" w:fill="F7F7F5"/>
            <w:tcMar>
              <w:top w:w="72" w:type="dxa"/>
              <w:left w:w="108" w:type="dxa"/>
              <w:bottom w:w="72" w:type="dxa"/>
              <w:right w:w="108" w:type="dxa"/>
            </w:tcMar>
            <w:vAlign w:val="top"/>
          </w:tcPr>
          <w:p>
            <w:pPr>
              <w:spacing w:before="0" w:after="0" w:line="252" w:lineRule="auto"/>
            </w:pPr>
          </w:p>
        </w:tc>
      </w:tr>
      <w:tr>
        <w:tc>
          <w:tcPr>
            <w:tcW w:w="1598"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Tactic</w:t>
            </w:r>
          </w:p>
        </w:tc>
        <w:tc>
          <w:tcPr>
            <w:tcW w:w="48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        Put restriction and bridge data on the assessment screen</w:t>
            </w:r>
          </w:p>
        </w:tc>
        <w:tc>
          <w:tcPr>
            <w:tcW w:w="1368" w:type="dxa"/>
            <w:shd w:val="clear" w:fill="FFFFFF"/>
            <w:tcMar>
              <w:top w:w="72" w:type="dxa"/>
              <w:left w:w="108" w:type="dxa"/>
              <w:bottom w:w="72" w:type="dxa"/>
              <w:right w:w="108" w:type="dxa"/>
            </w:tcMar>
            <w:vAlign w:val="top"/>
          </w:tcPr>
          <w:p>
            <w:pPr>
              <w:spacing w:before="0" w:after="0" w:line="252" w:lineRule="auto"/>
            </w:pPr>
          </w:p>
        </w:tc>
      </w:tr>
      <w:tr>
        <w:tc>
          <w:tcPr>
            <w:tcW w:w="1598"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KPI</w:t>
            </w:r>
          </w:p>
        </w:tc>
        <w:tc>
          <w:tcPr>
            <w:tcW w:w="48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            Median days Lodged to Issued — target ≤ 15, act above 13</w:t>
            </w:r>
          </w:p>
        </w:tc>
        <w:tc>
          <w:tcPr>
            <w:tcW w:w="1368"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lagging</w:t>
            </w:r>
          </w:p>
        </w:tc>
      </w:tr>
      <w:tr>
        <w:tc>
          <w:tcPr>
            <w:tcW w:w="1598"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KPI</w:t>
            </w:r>
          </w:p>
        </w:tc>
        <w:tc>
          <w:tcPr>
            <w:tcW w:w="48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            Objection rate — target ≤ 6%, act above 9%</w:t>
            </w:r>
          </w:p>
        </w:tc>
        <w:tc>
          <w:tcPr>
            <w:tcW w:w="1368"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leading</w:t>
            </w:r>
          </w:p>
        </w:tc>
      </w:tr>
      <w:tr>
        <w:tc>
          <w:tcPr>
            <w:tcW w:w="1598"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Strategy</w:t>
            </w:r>
          </w:p>
        </w:tc>
        <w:tc>
          <w:tcPr>
            <w:tcW w:w="48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    Shorten consent</w:t>
            </w:r>
          </w:p>
        </w:tc>
        <w:tc>
          <w:tcPr>
            <w:tcW w:w="1368" w:type="dxa"/>
            <w:shd w:val="clear" w:fill="F7F7F5"/>
            <w:tcMar>
              <w:top w:w="72" w:type="dxa"/>
              <w:left w:w="108" w:type="dxa"/>
              <w:bottom w:w="72" w:type="dxa"/>
              <w:right w:w="108" w:type="dxa"/>
            </w:tcMar>
            <w:vAlign w:val="top"/>
          </w:tcPr>
          <w:p>
            <w:pPr>
              <w:spacing w:before="0" w:after="0" w:line="252" w:lineRule="auto"/>
            </w:pPr>
          </w:p>
        </w:tc>
      </w:tr>
      <w:tr>
        <w:tc>
          <w:tcPr>
            <w:tcW w:w="1598"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Tactic</w:t>
            </w:r>
          </w:p>
        </w:tc>
        <w:tc>
          <w:tcPr>
            <w:tcW w:w="48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        Seek consent from all road managers at once</w:t>
            </w:r>
          </w:p>
        </w:tc>
        <w:tc>
          <w:tcPr>
            <w:tcW w:w="1368" w:type="dxa"/>
            <w:shd w:val="clear" w:fill="FFFFFF"/>
            <w:tcMar>
              <w:top w:w="72" w:type="dxa"/>
              <w:left w:w="108" w:type="dxa"/>
              <w:bottom w:w="72" w:type="dxa"/>
              <w:right w:w="108" w:type="dxa"/>
            </w:tcMar>
            <w:vAlign w:val="top"/>
          </w:tcPr>
          <w:p>
            <w:pPr>
              <w:spacing w:before="0" w:after="0" w:line="252" w:lineRule="auto"/>
            </w:pPr>
          </w:p>
        </w:tc>
      </w:tr>
      <w:tr>
        <w:tc>
          <w:tcPr>
            <w:tcW w:w="1598"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KPI</w:t>
            </w:r>
          </w:p>
        </w:tc>
        <w:tc>
          <w:tcPr>
            <w:tcW w:w="48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            Median consent days — target ≤ 7, act above 9</w:t>
            </w:r>
          </w:p>
        </w:tc>
        <w:tc>
          <w:tcPr>
            <w:tcW w:w="1368"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7"/>
              </w:rPr>
              <w:t xml:space="preserve">lagging</w:t>
            </w:r>
          </w:p>
        </w:tc>
      </w:tr>
      <w:tr>
        <w:tc>
          <w:tcPr>
            <w:tcW w:w="1598"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KPI</w:t>
            </w:r>
          </w:p>
        </w:tc>
        <w:tc>
          <w:tcPr>
            <w:tcW w:w="48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            Councils consenting digitally — target ≥ 9 of 11, act below 7</w:t>
            </w:r>
          </w:p>
        </w:tc>
        <w:tc>
          <w:tcPr>
            <w:tcW w:w="1368"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7"/>
              </w:rPr>
              <w:t xml:space="preserve">leading</w:t>
            </w:r>
          </w:p>
        </w:tc>
      </w:tr>
    </w:tbl>
    <w:p>
      <w:pPr>
        <w:spacing w:before="0" w:after="120" w:line="252" w:lineRule="auto"/>
      </w:pPr>
    </w:p>
    <w:p>
      <w:pPr>
        <w:spacing w:before="0" w:after="80" w:line="252" w:lineRule="auto"/>
      </w:pPr>
      <w:r>
        <w:rPr>
          <w:rFonts w:ascii="Aptos" w:hAnsi="Aptos"/>
          <w:i/>
          <w:color w:val="6B6A66"/>
          <w:sz w:val="18"/>
        </w:rPr>
        <w:t xml:space="preserve">Baseline is step 5: 40 days, $41 a permit. Without that row there is no improvement to claim, only an assertion.</w:t>
      </w:r>
    </w:p>
    <w:p>
      <w:pPr>
        <w:spacing w:before="0" w:after="120" w:line="252" w:lineRule="auto"/>
      </w:pPr>
      <w:r>
        <w:rPr>
          <w:rFonts w:ascii="Aptos" w:hAnsi="Aptos"/>
          <w:color w:val="6B6A66"/>
          <w:sz w:val="18"/>
        </w:rPr>
        <w:t xml:space="preserve">Why this and not its neighbour: A metric is a raw measure; a KPI is a metric tied to an objective with a target. An indicator that nobody would act on is a metric, not a KPI, however prominently it is displayed.</w:t>
      </w:r>
    </w:p>
    <w:p>
      <w:pPr>
        <w:spacing w:before="320" w:after="80" w:line="252" w:lineRule="auto"/>
      </w:pPr>
      <w:r>
        <w:rPr>
          <w:rFonts w:ascii="Aptos" w:hAnsi="Aptos"/>
          <w:b/>
          <w:color w:val="0B0B0B"/>
          <w:sz w:val="30"/>
        </w:rPr>
        <w:t xml:space="preserve">Why the chain matters</w:t>
      </w:r>
    </w:p>
    <w:p>
      <w:pPr>
        <w:spacing w:before="0" w:after="160" w:line="252" w:lineRule="auto"/>
      </w:pPr>
      <w:r>
        <w:rPr>
          <w:rFonts w:ascii="Aptos" w:hAnsi="Aptos"/>
          <w:color w:val="0B0B0B"/>
          <w:sz w:val="21"/>
        </w:rPr>
        <w:t xml:space="preserve">Sixteen techniques, each taking something the one before it produced. Nothing here is a fresh start: the process model becomes the analysis rows, the worst row becomes the root cause, the cost to serve becomes the business case, the scope becomes the functions, the functions become the rules and the use cases, and the benefit becomes the KPI. That chain is what makes a technique useful — on its own each is a drawing, in sequence they are an argument.</w:t>
      </w:r>
    </w:p>
    <w:p>
      <w:pPr>
        <w:spacing w:before="0" w:after="80" w:line="252" w:lineRule="auto"/>
      </w:pPr>
      <w:r>
        <w:rPr>
          <w:rFonts w:ascii="Aptos" w:hAnsi="Aptos"/>
          <w:color w:val="6B6A66"/>
          <w:sz w:val="16"/>
        </w:rPr>
        <w:t xml:space="preserve">CBAP® Technique Pack · BABOK® Guide v3 · business-analyst.services · not affiliated with IIBA®</w:t>
      </w:r>
    </w:p>
    <w:sectPr>
      <w:pgSz w:w="16838" w:h="11906" w:orient="landscape"/>
      <w:pgMar w:top="864" w:right="864" w:bottom="864" w:left="864" w:header="708" w:footer="70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82B"/>
    <w:rsid w:val="003E2EAC"/>
    <w:rsid w:val="00EF482B"/>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9B495"/>
  <w15:chartTrackingRefBased/>
  <w15:docId w15:val="{9B541368-0876-4C02-B59C-C6283CD48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8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48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48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48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48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48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8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8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8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8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48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48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48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48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48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8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8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82B"/>
    <w:rPr>
      <w:rFonts w:eastAsiaTheme="majorEastAsia" w:cstheme="majorBidi"/>
      <w:color w:val="272727" w:themeColor="text1" w:themeTint="D8"/>
    </w:rPr>
  </w:style>
  <w:style w:type="paragraph" w:styleId="Title">
    <w:name w:val="Title"/>
    <w:basedOn w:val="Normal"/>
    <w:next w:val="Normal"/>
    <w:link w:val="TitleChar"/>
    <w:uiPriority w:val="10"/>
    <w:qFormat/>
    <w:rsid w:val="00EF48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8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8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8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82B"/>
    <w:pPr>
      <w:spacing w:before="160"/>
      <w:jc w:val="center"/>
    </w:pPr>
    <w:rPr>
      <w:i/>
      <w:iCs/>
      <w:color w:val="404040" w:themeColor="text1" w:themeTint="BF"/>
    </w:rPr>
  </w:style>
  <w:style w:type="character" w:customStyle="1" w:styleId="QuoteChar">
    <w:name w:val="Quote Char"/>
    <w:basedOn w:val="DefaultParagraphFont"/>
    <w:link w:val="Quote"/>
    <w:uiPriority w:val="29"/>
    <w:rsid w:val="00EF482B"/>
    <w:rPr>
      <w:i/>
      <w:iCs/>
      <w:color w:val="404040" w:themeColor="text1" w:themeTint="BF"/>
    </w:rPr>
  </w:style>
  <w:style w:type="paragraph" w:styleId="ListParagraph">
    <w:name w:val="List Paragraph"/>
    <w:basedOn w:val="Normal"/>
    <w:uiPriority w:val="34"/>
    <w:qFormat/>
    <w:rsid w:val="00EF482B"/>
    <w:pPr>
      <w:ind w:left="720"/>
      <w:contextualSpacing/>
    </w:pPr>
  </w:style>
  <w:style w:type="character" w:styleId="IntenseEmphasis">
    <w:name w:val="Intense Emphasis"/>
    <w:basedOn w:val="DefaultParagraphFont"/>
    <w:uiPriority w:val="21"/>
    <w:qFormat/>
    <w:rsid w:val="00EF482B"/>
    <w:rPr>
      <w:i/>
      <w:iCs/>
      <w:color w:val="0F4761" w:themeColor="accent1" w:themeShade="BF"/>
    </w:rPr>
  </w:style>
  <w:style w:type="paragraph" w:styleId="IntenseQuote">
    <w:name w:val="Intense Quote"/>
    <w:basedOn w:val="Normal"/>
    <w:next w:val="Normal"/>
    <w:link w:val="IntenseQuoteChar"/>
    <w:uiPriority w:val="30"/>
    <w:qFormat/>
    <w:rsid w:val="00EF48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482B"/>
    <w:rPr>
      <w:i/>
      <w:iCs/>
      <w:color w:val="0F4761" w:themeColor="accent1" w:themeShade="BF"/>
    </w:rPr>
  </w:style>
  <w:style w:type="character" w:styleId="IntenseReference">
    <w:name w:val="Intense Reference"/>
    <w:basedOn w:val="DefaultParagraphFont"/>
    <w:uiPriority w:val="32"/>
    <w:qFormat/>
    <w:rsid w:val="00EF48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Application>Microsoft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CBAP Scenario Walkthrough</dc:title>
  <dc:creator>Business Analyst Services</dc:creator>
  <cp:lastModifiedBy>Business Analyst Services</cp:lastModifiedBy>
</cp:coreProperties>
</file>